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Relationships xmlns="http://schemas.openxmlformats.org/package/2006/relationships">
   <Relationship Target="word/document.xml" Type="http://schemas.openxmlformats.org/officeDocument/2006/relationships/officeDocument" Id="rId1"/>
   <Relationship Target="docProps/core.xml" Type="http://schemas.openxmlformats.org/package/2006/relationships/metadata/core-properties" Id="rId2"/>
   <Relationship Target="docProps/app.xml" Type="http://schemas.openxmlformats.org/officeDocument/2006/relationships/extended-properties" Id="rId3"/>
</Relationships>

</file>

<file path=word/document.xml><?xml version="1.0" encoding="utf-8"?>
<w:document xmlns:ns30="http://schemas.openxmlformats.org/schemaLibrary/2006/main" xmlns:a="http://schemas.openxmlformats.org/drawingml/2006/main" xmlns:r="http://schemas.openxmlformats.org/officeDocument/2006/relationships" xmlns:mc="http://schemas.openxmlformats.org/markup-compatibility/2006" xmlns:w="http://schemas.openxmlformats.org/wordprocessingml/2006/main" xmlns:wp="http://schemas.openxmlformats.org/drawingml/2006/wordprocessingDrawing" xmlns:w15="http://schemas.microsoft.com/office/word/2012/wordml" xmlns:wp14="http://schemas.microsoft.com/office/word/2010/wordprocessingDrawing" xmlns:w14="http://schemas.microsoft.com/office/word/2010/wordml" xmlns:m="http://schemas.openxmlformats.org/officeDocument/2006/math">
  <w:body>
    <w:p>
      <w:pPr>
        <w:spacing w:after="0"/>
        <w:ind w:left="0"/>
        <w:jc w:val="center"/>
      </w:pPr>
      <w:r>
        <w:rPr>
          <w:rFonts w:ascii="Times New Roman" w:hAnsi="Times New Roman"/>
          <w:b/>
          <w:i w:val="false"/>
          <w:color w:val="000000"/>
          <w:sz w:val="36"/>
        </w:rPr>
        <w:t>2023播音与主持艺术(主修)</w:t>
      </w:r>
    </w:p>
    <w:p>
      <w:pPr>
        <w:spacing w:after="0"/>
        <w:ind w:left="0"/>
        <w:jc w:val="center"/>
      </w:pPr>
      <w:r>
        <w:rPr>
          <w:rFonts w:ascii="Times New Roman" w:hAnsi="Times New Roman"/>
          <w:b w:val="false"/>
          <w:i w:val="false"/>
          <w:color w:val="000000"/>
          <w:sz w:val="24"/>
        </w:rPr>
        <w:t>
</w:t>
      </w:r>
      <w:r>
        <w:rPr>
          <w:rFonts w:ascii="Times New Roman" w:hAnsi="Times New Roman"/>
          <w:b w:val="false"/>
          <w:i w:val="false"/>
          <w:color w:val="000000"/>
          <w:sz w:val="24"/>
        </w:rPr>
        <w:t xml:space="preserve">
主修
 | 2023
 | 本科
 | 新闻传播学院
 | 播音与主持艺术
 | </w:t>
      </w:r>
      <w:r>
        <w:rPr>
          <w:rFonts w:ascii="Times New Roman" w:hAnsi="Times New Roman"/>
          <w:b w:val="false"/>
          <w:i w:val="false"/>
          <w:color w:val="000000"/>
          <w:sz w:val="24"/>
        </w:rPr>
        <w:t>148 学分</w:t>
      </w:r>
      <w:r>
        <w:rPr>
          <w:rFonts w:ascii="Times New Roman" w:hAnsi="Times New Roman"/>
          <w:b w:val="false"/>
          <w:i w:val="false"/>
          <w:color w:val="000000"/>
          <w:sz w:val="24"/>
        </w:rPr>
        <w:t>
</w:t>
      </w:r>
    </w:p>
    <w:p>
      <w:pPr>
        <w:spacing w:after="0"/>
        <w:ind w:left="0"/>
        <w:jc w:val="left"/>
      </w:pPr>
      <w:r>
        <w:rPr>
          <w:rFonts w:ascii="Times New Roman" w:hAnsi="Times New Roman"/>
          <w:b/>
          <w:i w:val="false"/>
          <w:color w:val="000000"/>
        </w:rPr>
        <w:t>一 专业简介</w:t>
      </w:r>
      <w:bookmarkStart w:id="0" w:name="1"/>
      <w:bookmarkEnd w:id="0"/>
    </w:p>
    <w:p>
      <w:pPr>
        <w:spacing w:after="0"/>
        <w:ind w:left="0"/>
        <w:jc w:val="left"/>
      </w:pPr>
      <w:r>
        <w:rPr>
          <w:rFonts w:ascii="Times New Roman" w:hAnsi="Times New Roman"/>
          <w:b w:val="false"/>
          <w:i w:val="false"/>
          <w:color w:val="000000"/>
          <w:sz w:val="22"/>
        </w:rPr>
        <w:t>专业代码及专业名称：130309  播音与主持艺术</w:t>
      </w:r>
    </w:p>
    <w:p>
      <w:pPr>
        <w:spacing w:after="0"/>
        <w:ind w:left="0"/>
        <w:jc w:val="left"/>
      </w:pPr>
      <w:r>
        <w:rPr>
          <w:rFonts w:ascii="Times New Roman" w:hAnsi="Times New Roman"/>
          <w:b w:val="false"/>
          <w:i w:val="false"/>
          <w:color w:val="000000"/>
          <w:sz w:val="22"/>
        </w:rPr>
        <w:t>播音与主持艺术专业创设于2004年，获准成为中宣部和教育部首批指定的“卓越新闻传播人才教育培养计划试点单位”、四川省“专业综合改革试点”省级立项建设项目。经过近二十年的探索，本专业逐渐形成了“教学、科研、实践和社会”四位一体的发展特色，即以科学研究反哺教学工作、以专业实践促进地方发展和经济文化建设、以国家政策和需要倡导促进专业发展。本专业人才培养坚持团队培养模式，依托创声演艺工作室、创视影像工作室、网络直播电台、朗诵配音协会、博传新媒体工作室等团队，使学生把课内理论、课内实践运用到课外实践中；依托四川省大学生主持人大赛、乡村振兴网络主播大赛、全国大学生配音大赛等专业竞赛活动，注重以赛促训、以赛促教，扩大学生实践空间，提高学生实践能力。</w:t>
      </w:r>
    </w:p>
    <w:p>
      <w:pPr>
        <w:spacing w:after="0"/>
        <w:ind w:left="0"/>
        <w:jc w:val="left"/>
      </w:pPr>
      <w:r>
        <w:rPr>
          <w:rFonts w:ascii="Times New Roman" w:hAnsi="Times New Roman"/>
          <w:b w:val="false"/>
          <w:i w:val="false"/>
          <w:color w:val="000000"/>
          <w:sz w:val="22"/>
        </w:rPr>
        <w:t>播音与主持艺术专业所属主干学科是艺术学，专业开设的核心课程有《播音主持艺术导论》《普通话语音》《播音发声》《播音创作基础》《广播播音主持》《电视播音主持》《即兴思维与口语表达》《文艺作品演播》等。</w:t>
      </w:r>
    </w:p>
    <w:p>
      <w:pPr>
        <w:spacing w:after="0"/>
        <w:ind w:left="0"/>
        <w:jc w:val="left"/>
      </w:pPr>
      <w:r>
        <w:rPr>
          <w:rFonts w:ascii="Times New Roman" w:hAnsi="Times New Roman"/>
          <w:b/>
          <w:i w:val="false"/>
          <w:color w:val="000000"/>
        </w:rPr>
        <w:t>二 培养目标</w:t>
      </w:r>
      <w:bookmarkStart w:id="1" w:name="2"/>
      <w:bookmarkEnd w:id="1"/>
    </w:p>
    <w:p>
      <w:pPr>
        <w:spacing w:after="0"/>
        <w:ind w:left="0"/>
        <w:jc w:val="left"/>
      </w:pPr>
      <w:r>
        <w:rPr>
          <w:rFonts w:ascii="Times New Roman" w:hAnsi="Times New Roman"/>
          <w:b w:val="false"/>
          <w:i w:val="false"/>
          <w:color w:val="000000"/>
          <w:sz w:val="22"/>
        </w:rPr>
        <w:t>培养目标定位：根据国家教育部颁发的《普通高等学校本科专业介绍》，结合学校的整体办学定位以及播音与主持艺术专业人才培养的自身特点和要求，本专业旨在立足四川，面向全国，以服务地方社会经济发展为核心理念， 培养德、智、体、美全面发展，具备播音学、新闻传播学、戏剧与影视学、中国语言文学、艺术学等多学科知识与能力，具备较强的广播电视节目播音和主持、节目制作能力以及初步的广播电视语言传播研究能力，培养能在广播电视传媒及相关机构、文化部门、网络传媒等领域从事播音与节目主持等相关工作的复合型、应用型专业人才。</w:t>
      </w:r>
    </w:p>
    <w:p>
      <w:pPr>
        <w:spacing w:after="0"/>
        <w:ind w:left="0"/>
        <w:jc w:val="left"/>
      </w:pPr>
      <w:r>
        <w:rPr>
          <w:rFonts w:ascii="Times New Roman" w:hAnsi="Times New Roman"/>
          <w:b w:val="false"/>
          <w:i w:val="false"/>
          <w:color w:val="000000"/>
          <w:sz w:val="22"/>
        </w:rPr>
        <w:t>具体目标如下：</w:t>
      </w:r>
    </w:p>
    <w:p>
      <w:pPr>
        <w:spacing w:after="0"/>
        <w:ind w:left="0"/>
        <w:jc w:val="left"/>
      </w:pPr>
      <w:r>
        <w:rPr>
          <w:rFonts w:ascii="Times New Roman" w:hAnsi="Times New Roman"/>
          <w:b w:val="false"/>
          <w:i w:val="false"/>
          <w:color w:val="000000"/>
          <w:sz w:val="22"/>
        </w:rPr>
        <w:t>目标1：热爱祖国，热爱中国共产党，热爱人民，掌握马列主义、毛泽东思想、习近平新时代中国特色社会主义思想，自觉践行社会主义核心价值观；具有正确的世界观、人生观和价值观以及高尚的道德品质。</w:t>
      </w:r>
    </w:p>
    <w:p>
      <w:pPr>
        <w:spacing w:after="0"/>
        <w:ind w:left="0"/>
        <w:jc w:val="left"/>
      </w:pPr>
      <w:r>
        <w:rPr>
          <w:rFonts w:ascii="Times New Roman" w:hAnsi="Times New Roman"/>
          <w:b w:val="false"/>
          <w:i w:val="false"/>
          <w:color w:val="000000"/>
          <w:sz w:val="22"/>
        </w:rPr>
        <w:t>目标2：熟悉党和国家新闻宣传、文艺工作的方针政策与法规，具备较高政治觉悟和思想道德水平。</w:t>
      </w:r>
    </w:p>
    <w:p>
      <w:pPr>
        <w:spacing w:after="0"/>
        <w:ind w:left="0"/>
        <w:jc w:val="left"/>
      </w:pPr>
      <w:r>
        <w:rPr>
          <w:rFonts w:ascii="Times New Roman" w:hAnsi="Times New Roman"/>
          <w:b w:val="false"/>
          <w:i w:val="false"/>
          <w:color w:val="000000"/>
          <w:sz w:val="22"/>
        </w:rPr>
        <w:t> </w:t>
      </w:r>
    </w:p>
    <w:p>
      <w:pPr>
        <w:spacing w:after="0"/>
        <w:ind w:left="0"/>
        <w:jc w:val="left"/>
      </w:pPr>
      <w:r>
        <w:rPr>
          <w:rFonts w:ascii="Times New Roman" w:hAnsi="Times New Roman"/>
          <w:b w:val="false"/>
          <w:i w:val="false"/>
          <w:color w:val="000000"/>
          <w:sz w:val="22"/>
        </w:rPr>
        <w:t>目标3： 系统掌握播音与主持艺术专业核心理论、基础知识和基本技能，了解当代传媒、艺术教育行业发展现状及趋势，能适应全媒体发展形势下行业对创新、创业人才的技能要求。</w:t>
      </w:r>
    </w:p>
    <w:p>
      <w:pPr>
        <w:spacing w:after="0"/>
        <w:ind w:left="0"/>
        <w:jc w:val="left"/>
      </w:pPr>
      <w:r>
        <w:rPr>
          <w:rFonts w:ascii="Times New Roman" w:hAnsi="Times New Roman"/>
          <w:b w:val="false"/>
          <w:i w:val="false"/>
          <w:color w:val="000000"/>
          <w:sz w:val="22"/>
        </w:rPr>
        <w:t>目标4：具备较强的学习能力和科学研究能力，能紧跟传媒行业发展动态，进一步提升专业能力和学历，结合工作实践开展科学研究，实现自我专业发展。</w:t>
      </w:r>
    </w:p>
    <w:p>
      <w:pPr>
        <w:spacing w:after="0"/>
        <w:ind w:left="0"/>
        <w:jc w:val="left"/>
      </w:pPr>
    </w:p>
    <w:p>
      <w:pPr>
        <w:spacing w:after="0"/>
        <w:ind w:left="0"/>
        <w:jc w:val="left"/>
      </w:pPr>
      <w:r>
        <w:rPr>
          <w:rFonts w:ascii="Times New Roman" w:hAnsi="Times New Roman"/>
          <w:b/>
          <w:i w:val="false"/>
          <w:color w:val="000000"/>
        </w:rPr>
        <w:t>三 毕业要求</w:t>
      </w:r>
      <w:bookmarkStart w:id="2" w:name="3"/>
      <w:bookmarkEnd w:id="2"/>
    </w:p>
    <w:p>
      <w:pPr>
        <w:spacing w:after="0"/>
        <w:ind w:left="0"/>
        <w:jc w:val="left"/>
      </w:pPr>
      <w:r>
        <w:rPr>
          <w:rFonts w:ascii="Times New Roman" w:hAnsi="Times New Roman"/>
          <w:b w:val="false"/>
          <w:i w:val="false"/>
          <w:color w:val="000000"/>
          <w:sz w:val="22"/>
        </w:rPr>
        <w:t>本专业培养学生能系统地学习和掌握播音与主持艺术的基本理论和基础知识，接受全面、系统的采访、编辑、播音、主持方面的训练，了解新时代媒体发展的理念及趋势，具有良好的科学文化素质、道德心理素质、身心素质和职业素养，并具备从事社会活动和科学研究的基本能力。</w:t>
      </w:r>
    </w:p>
    <w:p>
      <w:pPr>
        <w:spacing w:after="0"/>
        <w:ind w:left="0"/>
        <w:jc w:val="left"/>
      </w:pPr>
      <w:r>
        <w:rPr>
          <w:rFonts w:ascii="Times New Roman" w:hAnsi="Times New Roman"/>
          <w:b w:val="false"/>
          <w:i w:val="false"/>
          <w:color w:val="000000"/>
          <w:sz w:val="22"/>
        </w:rPr>
        <w:t>知识要求：1．掌握中国播音学、新闻传播学、戏剧与影视学、中国语言文学、艺术学的基本理论和基础知识；2.掌握与本专业相关的哲学、政治、历史、经济、社会、美学等多学科的知识；</w:t>
      </w:r>
    </w:p>
    <w:p>
      <w:pPr>
        <w:spacing w:after="0"/>
        <w:ind w:left="0"/>
        <w:jc w:val="left"/>
      </w:pPr>
      <w:r>
        <w:rPr>
          <w:rFonts w:ascii="Times New Roman" w:hAnsi="Times New Roman"/>
          <w:b w:val="false"/>
          <w:i w:val="false"/>
          <w:color w:val="000000"/>
          <w:sz w:val="22"/>
        </w:rPr>
        <w:t>能力要求：1.掌握本专业技能，具有新闻、综艺、社教专题等节目的播音主持能力，具有文学作品朗诵和影视剧演播、配音的创作能力；2.掌握广播电视新闻采访写作、节目策划编辑、摄录、后期制作等专业技能，能够参与策划、编导、制作广播电视节目的基本能力；3.掌握标准的普通话，达到国家普通话等级测试一级乙等以上水平，具有熟练运用普通话进行语言传播的能力；4.具备英语听、说、读、写、译的基本能力和使用网络、计算机的基本能力；5．掌握文献检索、资料查询的基本方法，具有初步的科学研究能力。</w:t>
      </w:r>
    </w:p>
    <w:p>
      <w:pPr>
        <w:spacing w:after="0"/>
        <w:ind w:left="0"/>
        <w:jc w:val="left"/>
      </w:pPr>
      <w:r>
        <w:rPr>
          <w:rFonts w:ascii="Times New Roman" w:hAnsi="Times New Roman"/>
          <w:b w:val="false"/>
          <w:i w:val="false"/>
          <w:color w:val="000000"/>
          <w:sz w:val="22"/>
        </w:rPr>
        <w:t>素养要求：1.具有较高的思想政治理论素养、思想道德素质、科学文化素质和身心素质，具有较强的敬业精神和良好的职业素养；2．了解并掌握党和国家的新闻宣传、文艺工作的方针政策。</w:t>
      </w:r>
    </w:p>
    <w:p>
      <w:pPr>
        <w:spacing w:after="0"/>
        <w:ind w:left="0"/>
        <w:jc w:val="left"/>
      </w:pPr>
    </w:p>
    <w:p>
      <w:pPr>
        <w:spacing w:after="0"/>
        <w:ind w:left="0"/>
        <w:jc w:val="left"/>
      </w:pPr>
      <w:r>
        <w:rPr>
          <w:rFonts w:ascii="Times New Roman" w:hAnsi="Times New Roman"/>
          <w:b/>
          <w:i w:val="false"/>
          <w:color w:val="000000"/>
        </w:rPr>
        <w:t>四 专业特色课程</w:t>
      </w:r>
      <w:bookmarkStart w:id="3" w:name="4"/>
      <w:bookmarkEnd w:id="3"/>
    </w:p>
    <w:p>
      <w:pPr>
        <w:spacing w:after="0"/>
        <w:ind w:left="0"/>
        <w:jc w:val="left"/>
      </w:pPr>
      <w:r>
        <w:rPr>
          <w:rFonts w:ascii="Times New Roman" w:hAnsi="Times New Roman"/>
          <w:b w:val="false"/>
          <w:i w:val="false"/>
          <w:color w:val="000000"/>
          <w:sz w:val="22"/>
        </w:rPr>
        <w:t>1.课程编码：2003003    课程中文名称：播音主持艺术导论         课程英文名称：Broadcast Introduction</w:t>
      </w:r>
    </w:p>
    <w:p>
      <w:pPr>
        <w:spacing w:after="0"/>
        <w:ind w:left="0"/>
        <w:jc w:val="left"/>
      </w:pPr>
      <w:r>
        <w:rPr>
          <w:rFonts w:ascii="Times New Roman" w:hAnsi="Times New Roman"/>
          <w:b w:val="false"/>
          <w:i w:val="false"/>
          <w:color w:val="000000"/>
          <w:sz w:val="22"/>
        </w:rPr>
        <w:t>总学分：3    总学时：48  考核方式：考试</w:t>
      </w:r>
    </w:p>
    <w:p>
      <w:pPr>
        <w:spacing w:after="0"/>
        <w:ind w:left="0"/>
        <w:jc w:val="left"/>
      </w:pPr>
      <w:r>
        <w:rPr>
          <w:rFonts w:ascii="Times New Roman" w:hAnsi="Times New Roman"/>
          <w:b w:val="false"/>
          <w:i w:val="false"/>
          <w:color w:val="000000"/>
          <w:sz w:val="22"/>
        </w:rPr>
        <w:t>课程简介：</w:t>
      </w:r>
    </w:p>
    <w:p>
      <w:pPr>
        <w:spacing w:after="0"/>
        <w:ind w:left="0"/>
        <w:jc w:val="left"/>
      </w:pPr>
      <w:r>
        <w:rPr>
          <w:rFonts w:ascii="Times New Roman" w:hAnsi="Times New Roman"/>
          <w:b w:val="false"/>
          <w:i w:val="false"/>
          <w:color w:val="000000"/>
          <w:sz w:val="22"/>
        </w:rPr>
        <w:t>本课程是中国播音学的重要组成部分，是研究人民广播播音发生发展一般规律的学科，具体是主要以播音创作为研究对象，是研究播音创作这一活动系统发生发展一般规律的学科。课程内容主要是以培养播音专业人员为基本教学目的，讲授播音专业基础理论，训练播音艺术技巧的一门课程。播音学概论研究的内容共分四编，即本质论、创作论、风格论、发展论。</w:t>
      </w:r>
    </w:p>
    <w:p>
      <w:pPr>
        <w:spacing w:after="0"/>
        <w:ind w:left="0"/>
        <w:jc w:val="left"/>
      </w:pPr>
      <w:r>
        <w:rPr>
          <w:rFonts w:ascii="Times New Roman" w:hAnsi="Times New Roman"/>
          <w:b w:val="false"/>
          <w:i w:val="false"/>
          <w:color w:val="000000"/>
          <w:sz w:val="22"/>
        </w:rPr>
        <w:t>参考教材：</w:t>
      </w:r>
    </w:p>
    <w:p>
      <w:pPr>
        <w:spacing w:after="0"/>
        <w:ind w:left="0"/>
        <w:jc w:val="left"/>
      </w:pPr>
      <w:r>
        <w:rPr>
          <w:rFonts w:ascii="Times New Roman" w:hAnsi="Times New Roman"/>
          <w:b w:val="false"/>
          <w:i w:val="false"/>
          <w:color w:val="000000"/>
          <w:sz w:val="22"/>
        </w:rPr>
        <w:t>姚喜双. 播音主持概论.高等教育出版社.2012.</w:t>
      </w:r>
    </w:p>
    <w:p>
      <w:pPr>
        <w:spacing w:after="0"/>
        <w:ind w:left="0"/>
        <w:jc w:val="left"/>
      </w:pPr>
      <w:r>
        <w:rPr>
          <w:rFonts w:ascii="Times New Roman" w:hAnsi="Times New Roman"/>
          <w:b w:val="false"/>
          <w:i w:val="false"/>
          <w:color w:val="000000"/>
          <w:sz w:val="22"/>
        </w:rPr>
        <w:t>参考书目：</w:t>
      </w:r>
    </w:p>
    <w:p>
      <w:pPr>
        <w:spacing w:after="0"/>
        <w:ind w:left="0"/>
        <w:jc w:val="left"/>
      </w:pPr>
      <w:r>
        <w:rPr>
          <w:rFonts w:ascii="Times New Roman" w:hAnsi="Times New Roman"/>
          <w:b w:val="false"/>
          <w:i w:val="false"/>
          <w:color w:val="000000"/>
          <w:sz w:val="22"/>
        </w:rPr>
        <w:t>张颂. 中国播音学.北京广播学院出版社.1994.</w:t>
      </w:r>
    </w:p>
    <w:p>
      <w:pPr>
        <w:spacing w:after="0"/>
        <w:ind w:left="0"/>
        <w:jc w:val="left"/>
      </w:pPr>
      <w:r>
        <w:rPr>
          <w:rFonts w:ascii="Times New Roman" w:hAnsi="Times New Roman"/>
          <w:b w:val="false"/>
          <w:i w:val="false"/>
          <w:color w:val="000000"/>
          <w:sz w:val="22"/>
        </w:rPr>
        <w:t>张颂.播音语言理论——危机与对策.北京广播学院出版社.1994.</w:t>
      </w:r>
    </w:p>
    <w:p>
      <w:pPr>
        <w:spacing w:after="0"/>
        <w:ind w:left="0"/>
        <w:jc w:val="left"/>
      </w:pPr>
      <w:r>
        <w:rPr>
          <w:rFonts w:ascii="Times New Roman" w:hAnsi="Times New Roman"/>
          <w:b w:val="false"/>
          <w:i w:val="false"/>
          <w:color w:val="000000"/>
          <w:sz w:val="22"/>
        </w:rPr>
        <w:t>张颂、乔实. 论播音艺术.北京广播学院出版社.1990.</w:t>
      </w:r>
    </w:p>
    <w:p>
      <w:pPr>
        <w:spacing w:after="0"/>
        <w:ind w:left="0"/>
        <w:jc w:val="left"/>
      </w:pPr>
      <w:r>
        <w:rPr>
          <w:rFonts w:ascii="Times New Roman" w:hAnsi="Times New Roman"/>
          <w:b w:val="false"/>
          <w:i w:val="false"/>
          <w:color w:val="000000"/>
          <w:sz w:val="22"/>
        </w:rPr>
        <w:t>祁梵.播音支持心理学.北京广播学院出版社.1999.</w:t>
      </w:r>
    </w:p>
    <w:p>
      <w:pPr>
        <w:spacing w:after="0"/>
        <w:ind w:left="0"/>
        <w:jc w:val="left"/>
      </w:pPr>
      <w:r>
        <w:rPr>
          <w:rFonts w:ascii="Times New Roman" w:hAnsi="Times New Roman"/>
          <w:b w:val="false"/>
          <w:i w:val="false"/>
          <w:color w:val="000000"/>
          <w:sz w:val="22"/>
        </w:rPr>
        <w:t> </w:t>
      </w:r>
    </w:p>
    <w:p>
      <w:pPr>
        <w:spacing w:after="0"/>
        <w:ind w:left="0"/>
        <w:jc w:val="left"/>
      </w:pPr>
      <w:r>
        <w:rPr>
          <w:rFonts w:ascii="Times New Roman" w:hAnsi="Times New Roman"/>
          <w:b w:val="false"/>
          <w:i w:val="false"/>
          <w:color w:val="000000"/>
          <w:sz w:val="22"/>
        </w:rPr>
        <w:t>2.课程编码：2003004                 课程中文名称：传播学概论           课程英文名称：Brief Introduction to Mass Communication</w:t>
      </w:r>
    </w:p>
    <w:p>
      <w:pPr>
        <w:spacing w:after="0"/>
        <w:ind w:left="0"/>
        <w:jc w:val="left"/>
      </w:pPr>
      <w:r>
        <w:rPr>
          <w:rFonts w:ascii="Times New Roman" w:hAnsi="Times New Roman"/>
          <w:b w:val="false"/>
          <w:i w:val="false"/>
          <w:color w:val="000000"/>
          <w:sz w:val="22"/>
        </w:rPr>
        <w:t>总学分：3         总学时：48考核方式：考试</w:t>
      </w:r>
    </w:p>
    <w:p>
      <w:pPr>
        <w:spacing w:after="0"/>
        <w:ind w:left="0"/>
        <w:jc w:val="left"/>
      </w:pPr>
      <w:r>
        <w:rPr>
          <w:rFonts w:ascii="Times New Roman" w:hAnsi="Times New Roman"/>
          <w:b w:val="false"/>
          <w:i w:val="false"/>
          <w:color w:val="000000"/>
          <w:sz w:val="22"/>
        </w:rPr>
        <w:t>课程简介：</w:t>
      </w:r>
    </w:p>
    <w:p>
      <w:pPr>
        <w:spacing w:after="0"/>
        <w:ind w:left="0"/>
        <w:jc w:val="left"/>
      </w:pPr>
      <w:r>
        <w:rPr>
          <w:rFonts w:ascii="Times New Roman" w:hAnsi="Times New Roman"/>
          <w:b w:val="false"/>
          <w:i w:val="false"/>
          <w:color w:val="000000"/>
          <w:sz w:val="22"/>
        </w:rPr>
        <w:t> 本课程为高等学校新闻专业必修课。内容由三个部分组成。传播史论主要介绍人类传播历史、传播学研究的主要学派；传播学原理则主要介绍传播学的基本概念，如媒介、信息、传播符号、受众和传播效果等；传播实务主要包括大众传播学的研究方法，传播技巧以及大众传媒的个案分析。通过该门课程的学习，学生能够比较系统地了解大众传播的历史、现状和发展趋势，为以后的新闻实践打下坚实的理论基础。</w:t>
      </w:r>
    </w:p>
    <w:p>
      <w:pPr>
        <w:spacing w:after="0"/>
        <w:ind w:left="0"/>
        <w:jc w:val="left"/>
      </w:pPr>
      <w:r>
        <w:rPr>
          <w:rFonts w:ascii="Times New Roman" w:hAnsi="Times New Roman"/>
          <w:b w:val="false"/>
          <w:i w:val="false"/>
          <w:color w:val="000000"/>
          <w:sz w:val="22"/>
        </w:rPr>
        <w:t>参考教材：</w:t>
      </w:r>
    </w:p>
    <w:p>
      <w:pPr>
        <w:spacing w:after="0"/>
        <w:ind w:left="0"/>
        <w:jc w:val="left"/>
      </w:pPr>
      <w:r>
        <w:rPr>
          <w:rFonts w:ascii="Times New Roman" w:hAnsi="Times New Roman"/>
          <w:b w:val="false"/>
          <w:i w:val="false"/>
          <w:color w:val="000000"/>
          <w:sz w:val="22"/>
        </w:rPr>
        <w:t>邵培仁. 传播学（第三版）.高等教育出版社.2021.</w:t>
      </w:r>
    </w:p>
    <w:p>
      <w:pPr>
        <w:spacing w:after="0"/>
        <w:ind w:left="0"/>
        <w:jc w:val="left"/>
      </w:pPr>
      <w:r>
        <w:rPr>
          <w:rFonts w:ascii="Times New Roman" w:hAnsi="Times New Roman"/>
          <w:b w:val="false"/>
          <w:i w:val="false"/>
          <w:color w:val="000000"/>
          <w:sz w:val="22"/>
        </w:rPr>
        <w:t>参考书目：</w:t>
      </w:r>
    </w:p>
    <w:p>
      <w:pPr>
        <w:spacing w:after="0"/>
        <w:ind w:left="0"/>
        <w:jc w:val="left"/>
      </w:pPr>
      <w:r>
        <w:rPr>
          <w:rFonts w:ascii="Times New Roman" w:hAnsi="Times New Roman"/>
          <w:b w:val="false"/>
          <w:i w:val="false"/>
          <w:color w:val="000000"/>
          <w:sz w:val="22"/>
        </w:rPr>
        <w:t>李彬. 传播学引论.新华出版社.1993.</w:t>
      </w:r>
    </w:p>
    <w:p>
      <w:pPr>
        <w:spacing w:after="0"/>
        <w:ind w:left="0"/>
        <w:jc w:val="left"/>
      </w:pPr>
      <w:r>
        <w:rPr>
          <w:rFonts w:ascii="Times New Roman" w:hAnsi="Times New Roman"/>
          <w:b w:val="false"/>
          <w:i w:val="false"/>
          <w:color w:val="000000"/>
          <w:sz w:val="22"/>
        </w:rPr>
        <w:t>（美）斯蒂文·小约翰. 传播理论.中国社会科学出版社.1999.</w:t>
      </w:r>
    </w:p>
    <w:p>
      <w:pPr>
        <w:spacing w:after="0"/>
        <w:ind w:left="0"/>
        <w:jc w:val="left"/>
      </w:pPr>
      <w:r>
        <w:rPr>
          <w:rFonts w:ascii="Times New Roman" w:hAnsi="Times New Roman"/>
          <w:b w:val="false"/>
          <w:i w:val="false"/>
          <w:color w:val="000000"/>
          <w:sz w:val="22"/>
        </w:rPr>
        <w:t>（美）施拉姆 、威廉·波特. 传播学概论.新华出版社.1983.</w:t>
      </w:r>
    </w:p>
    <w:p>
      <w:pPr>
        <w:spacing w:after="0"/>
        <w:ind w:left="0"/>
        <w:jc w:val="left"/>
      </w:pPr>
      <w:r>
        <w:rPr>
          <w:rFonts w:ascii="Times New Roman" w:hAnsi="Times New Roman"/>
          <w:b w:val="false"/>
          <w:i w:val="false"/>
          <w:color w:val="000000"/>
          <w:sz w:val="22"/>
        </w:rPr>
        <w:t>（美）E·M·罗杰斯.殷晓蓉译. 传播学史——一种传记式的方法.上海译文出版.2002.</w:t>
      </w:r>
    </w:p>
    <w:p>
      <w:pPr>
        <w:spacing w:after="0"/>
        <w:ind w:left="0"/>
        <w:jc w:val="left"/>
      </w:pPr>
      <w:r>
        <w:rPr>
          <w:rFonts w:ascii="Times New Roman" w:hAnsi="Times New Roman"/>
          <w:b w:val="false"/>
          <w:i w:val="false"/>
          <w:color w:val="000000"/>
          <w:sz w:val="22"/>
        </w:rPr>
        <w:t>（美）沃纳·赛佛林.郭镇之译. 传播理论——起源、方法与应用. 华夏出版社. 2000.</w:t>
      </w:r>
    </w:p>
    <w:p>
      <w:pPr>
        <w:spacing w:after="0"/>
        <w:ind w:left="0"/>
        <w:jc w:val="left"/>
      </w:pPr>
      <w:r>
        <w:rPr>
          <w:rFonts w:ascii="Times New Roman" w:hAnsi="Times New Roman"/>
          <w:b w:val="false"/>
          <w:i w:val="false"/>
          <w:color w:val="000000"/>
          <w:sz w:val="22"/>
        </w:rPr>
        <w:t>张国良. 20世纪传播学经典文本.复旦大学出版社. 2003.</w:t>
      </w:r>
    </w:p>
    <w:p>
      <w:pPr>
        <w:spacing w:after="0"/>
        <w:ind w:left="0"/>
        <w:jc w:val="left"/>
      </w:pPr>
      <w:r>
        <w:rPr>
          <w:rFonts w:ascii="Times New Roman" w:hAnsi="Times New Roman"/>
          <w:b w:val="false"/>
          <w:i w:val="false"/>
          <w:color w:val="000000"/>
          <w:sz w:val="22"/>
        </w:rPr>
        <w:t> </w:t>
      </w:r>
    </w:p>
    <w:p>
      <w:pPr>
        <w:spacing w:after="0"/>
        <w:ind w:left="0"/>
        <w:jc w:val="left"/>
      </w:pPr>
      <w:r>
        <w:rPr>
          <w:rFonts w:ascii="Times New Roman" w:hAnsi="Times New Roman"/>
          <w:b w:val="false"/>
          <w:i w:val="false"/>
          <w:color w:val="000000"/>
          <w:sz w:val="22"/>
        </w:rPr>
        <w:t>3.课程编码：2003027      课程中文名称：新媒体导论          课程英文名称：Introduction to New Media</w:t>
      </w:r>
    </w:p>
    <w:p>
      <w:pPr>
        <w:spacing w:after="0"/>
        <w:ind w:left="0"/>
        <w:jc w:val="left"/>
      </w:pPr>
      <w:r>
        <w:rPr>
          <w:rFonts w:ascii="Times New Roman" w:hAnsi="Times New Roman"/>
          <w:b w:val="false"/>
          <w:i w:val="false"/>
          <w:color w:val="000000"/>
          <w:sz w:val="22"/>
        </w:rPr>
        <w:t>总学分：2       总学时：32             考核方式：考试 </w:t>
      </w:r>
    </w:p>
    <w:p>
      <w:pPr>
        <w:spacing w:after="0"/>
        <w:ind w:left="0"/>
        <w:jc w:val="left"/>
      </w:pPr>
      <w:r>
        <w:rPr>
          <w:rFonts w:ascii="Times New Roman" w:hAnsi="Times New Roman"/>
          <w:b w:val="false"/>
          <w:i w:val="false"/>
          <w:color w:val="000000"/>
          <w:sz w:val="22"/>
        </w:rPr>
        <w:t>课程简介：</w:t>
      </w:r>
    </w:p>
    <w:p>
      <w:pPr>
        <w:spacing w:after="0"/>
        <w:ind w:left="0"/>
        <w:jc w:val="left"/>
      </w:pPr>
      <w:r>
        <w:rPr>
          <w:rFonts w:ascii="Times New Roman" w:hAnsi="Times New Roman"/>
          <w:b w:val="false"/>
          <w:i w:val="false"/>
          <w:color w:val="000000"/>
          <w:sz w:val="22"/>
        </w:rPr>
        <w:t>以数字技术和网络技术为支撑的新媒体正在日益改变我们当下的生活。本课程分为理论阐述和实务讲解两个部分。在理论阐述部分，强调从新闻传播的视角为主，辅以社会学、管理学、经济学的相关视角，对新媒体深入分析。在形态上，对网络媒体、手机媒体、户外媒体等进行系统分析。在实务阐释部分，强化学生对网站的制作和网络新闻的编辑等实践操作能力的培养。</w:t>
      </w:r>
    </w:p>
    <w:p>
      <w:pPr>
        <w:spacing w:after="0"/>
        <w:ind w:left="0"/>
        <w:jc w:val="left"/>
      </w:pPr>
      <w:r>
        <w:rPr>
          <w:rFonts w:ascii="Times New Roman" w:hAnsi="Times New Roman"/>
          <w:b w:val="false"/>
          <w:i w:val="false"/>
          <w:color w:val="000000"/>
          <w:sz w:val="22"/>
        </w:rPr>
        <w:t>参考教材：</w:t>
      </w:r>
    </w:p>
    <w:p>
      <w:pPr>
        <w:spacing w:after="0"/>
        <w:ind w:left="0"/>
        <w:jc w:val="left"/>
      </w:pPr>
      <w:r>
        <w:rPr>
          <w:rFonts w:ascii="Times New Roman" w:hAnsi="Times New Roman"/>
          <w:b w:val="false"/>
          <w:i w:val="false"/>
          <w:color w:val="000000"/>
          <w:sz w:val="22"/>
        </w:rPr>
        <w:t>匡文波. 新媒体概论（第三版）.中国人民大学出版社.2021.</w:t>
      </w:r>
    </w:p>
    <w:p>
      <w:pPr>
        <w:spacing w:after="0"/>
        <w:ind w:left="0"/>
        <w:jc w:val="left"/>
      </w:pPr>
      <w:r>
        <w:rPr>
          <w:rFonts w:ascii="Times New Roman" w:hAnsi="Times New Roman"/>
          <w:b w:val="false"/>
          <w:i w:val="false"/>
          <w:color w:val="000000"/>
          <w:sz w:val="22"/>
        </w:rPr>
        <w:t>参考书目：</w:t>
      </w:r>
    </w:p>
    <w:p>
      <w:pPr>
        <w:spacing w:after="0"/>
        <w:ind w:left="0"/>
        <w:jc w:val="left"/>
      </w:pPr>
      <w:r>
        <w:rPr>
          <w:rFonts w:ascii="Times New Roman" w:hAnsi="Times New Roman"/>
          <w:b w:val="false"/>
          <w:i w:val="false"/>
          <w:color w:val="000000"/>
          <w:sz w:val="22"/>
        </w:rPr>
        <w:t>匡文波. 新媒体概论（第三版）.中国人民大学出版社.2019.</w:t>
      </w:r>
    </w:p>
    <w:p>
      <w:pPr>
        <w:spacing w:after="0"/>
        <w:ind w:left="0"/>
        <w:jc w:val="left"/>
      </w:pPr>
      <w:r>
        <w:rPr>
          <w:rFonts w:ascii="Times New Roman" w:hAnsi="Times New Roman"/>
          <w:b w:val="false"/>
          <w:i w:val="false"/>
          <w:color w:val="000000"/>
          <w:sz w:val="22"/>
        </w:rPr>
        <w:t>程栋. 智能时代新媒体概论.清华大学出版社.2019.</w:t>
      </w:r>
    </w:p>
    <w:p>
      <w:pPr>
        <w:spacing w:after="0"/>
        <w:ind w:left="0"/>
        <w:jc w:val="left"/>
      </w:pPr>
      <w:hyperlink r:id="rId4">
        <w:r>
          <w:rPr>
            <w:rFonts w:ascii="Times New Roman" w:hAnsi="Times New Roman"/>
            <w:b w:val="false"/>
            <w:i w:val="false"/>
            <w:color w:val="0000ff"/>
            <w:sz w:val="22"/>
            <w:u w:val="single"/>
          </w:rPr>
          <w:t>彭兰</w:t>
        </w:r>
      </w:hyperlink>
      <w:r>
        <w:rPr>
          <w:rFonts w:ascii="Times New Roman" w:hAnsi="Times New Roman"/>
          <w:b w:val="false"/>
          <w:i w:val="false"/>
          <w:color w:val="000000"/>
          <w:sz w:val="22"/>
        </w:rPr>
        <w:t>. 网络传播概论（第四版）.</w:t>
      </w:r>
      <w:hyperlink r:id="rId5">
        <w:r>
          <w:rPr>
            <w:rFonts w:ascii="Times New Roman" w:hAnsi="Times New Roman"/>
            <w:b w:val="false"/>
            <w:i w:val="false"/>
            <w:color w:val="0000ff"/>
            <w:sz w:val="22"/>
            <w:u w:val="single"/>
          </w:rPr>
          <w:t>中国人民大学出版社</w:t>
        </w:r>
      </w:hyperlink>
      <w:r>
        <w:rPr>
          <w:rFonts w:ascii="Times New Roman" w:hAnsi="Times New Roman"/>
          <w:b w:val="false"/>
          <w:i w:val="false"/>
          <w:color w:val="000000"/>
          <w:sz w:val="22"/>
        </w:rPr>
        <w:t>.2017.</w:t>
      </w:r>
    </w:p>
    <w:p>
      <w:pPr>
        <w:spacing w:after="0"/>
        <w:ind w:left="0"/>
        <w:jc w:val="left"/>
      </w:pPr>
      <w:r>
        <w:rPr>
          <w:rFonts w:ascii="Times New Roman" w:hAnsi="Times New Roman"/>
          <w:b w:val="false"/>
          <w:i w:val="false"/>
          <w:color w:val="000000"/>
          <w:sz w:val="22"/>
        </w:rPr>
        <w:t>中国社会科学院新闻与传播研究所. 新媒体蓝皮书.社会科学文献出版社.2022.</w:t>
      </w:r>
    </w:p>
    <w:p>
      <w:pPr>
        <w:spacing w:after="0"/>
        <w:ind w:left="0"/>
        <w:jc w:val="left"/>
      </w:pPr>
      <w:r>
        <w:rPr>
          <w:rFonts w:ascii="Times New Roman" w:hAnsi="Times New Roman"/>
          <w:b w:val="false"/>
          <w:i w:val="false"/>
          <w:color w:val="000000"/>
          <w:sz w:val="22"/>
        </w:rPr>
        <w:t>胡正荣. 新媒体前沿：人工智能与虚拟现实. 社会科学文献出版社.2017.</w:t>
      </w:r>
    </w:p>
    <w:p>
      <w:pPr>
        <w:spacing w:after="0"/>
        <w:ind w:left="0"/>
        <w:jc w:val="left"/>
      </w:pPr>
      <w:hyperlink r:id="rId6">
        <w:r>
          <w:rPr>
            <w:rFonts w:ascii="Times New Roman" w:hAnsi="Times New Roman"/>
            <w:b w:val="false"/>
            <w:i w:val="false"/>
            <w:color w:val="0000ff"/>
            <w:sz w:val="22"/>
            <w:u w:val="single"/>
          </w:rPr>
          <w:t>塔娜、唐铮</w:t>
        </w:r>
      </w:hyperlink>
      <w:r>
        <w:rPr>
          <w:rFonts w:ascii="Times New Roman" w:hAnsi="Times New Roman"/>
          <w:b w:val="false"/>
          <w:i w:val="false"/>
          <w:color w:val="000000"/>
          <w:sz w:val="22"/>
        </w:rPr>
        <w:t>.算法新闻.</w:t>
      </w:r>
      <w:hyperlink r:id="rId7">
        <w:r>
          <w:rPr>
            <w:rFonts w:ascii="Times New Roman" w:hAnsi="Times New Roman"/>
            <w:b w:val="false"/>
            <w:i w:val="false"/>
            <w:color w:val="0000ff"/>
            <w:sz w:val="22"/>
            <w:u w:val="single"/>
          </w:rPr>
          <w:t>中国人民大学出版社</w:t>
        </w:r>
      </w:hyperlink>
      <w:r>
        <w:rPr>
          <w:rFonts w:ascii="Times New Roman" w:hAnsi="Times New Roman"/>
          <w:b w:val="false"/>
          <w:i w:val="false"/>
          <w:color w:val="000000"/>
          <w:sz w:val="22"/>
        </w:rPr>
        <w:t>.2019.</w:t>
      </w:r>
    </w:p>
    <w:p>
      <w:pPr>
        <w:spacing w:after="0"/>
        <w:ind w:left="0"/>
        <w:jc w:val="left"/>
      </w:pPr>
      <w:r>
        <w:rPr>
          <w:rFonts w:ascii="Times New Roman" w:hAnsi="Times New Roman"/>
          <w:b w:val="false"/>
          <w:i w:val="false"/>
          <w:color w:val="000000"/>
          <w:sz w:val="22"/>
        </w:rPr>
        <w:t> </w:t>
      </w:r>
    </w:p>
    <w:p>
      <w:pPr>
        <w:spacing w:after="0"/>
        <w:ind w:left="0"/>
        <w:jc w:val="left"/>
      </w:pPr>
      <w:r>
        <w:rPr>
          <w:rFonts w:ascii="Times New Roman" w:hAnsi="Times New Roman"/>
          <w:b w:val="false"/>
          <w:i w:val="false"/>
          <w:color w:val="000000"/>
          <w:sz w:val="22"/>
        </w:rPr>
        <w:t>4.课程编码：2003015    课程中文名称：普通话语音        课程英文名称：Pronunciation                  </w:t>
      </w:r>
    </w:p>
    <w:p>
      <w:pPr>
        <w:spacing w:after="0"/>
        <w:ind w:left="0"/>
        <w:jc w:val="left"/>
      </w:pPr>
      <w:r>
        <w:rPr>
          <w:rFonts w:ascii="Times New Roman" w:hAnsi="Times New Roman"/>
          <w:b w:val="false"/>
          <w:i w:val="false"/>
          <w:color w:val="000000"/>
          <w:sz w:val="22"/>
        </w:rPr>
        <w:t>总学分：4           总学时：48+32          考核方式：考试</w:t>
      </w:r>
    </w:p>
    <w:p>
      <w:pPr>
        <w:spacing w:after="0"/>
        <w:ind w:left="0"/>
        <w:jc w:val="left"/>
      </w:pPr>
      <w:r>
        <w:rPr>
          <w:rFonts w:ascii="Times New Roman" w:hAnsi="Times New Roman"/>
          <w:b w:val="false"/>
          <w:i w:val="false"/>
          <w:color w:val="000000"/>
          <w:sz w:val="22"/>
        </w:rPr>
        <w:t>课程简介：</w:t>
      </w:r>
    </w:p>
    <w:p>
      <w:pPr>
        <w:spacing w:after="0"/>
        <w:ind w:left="0"/>
        <w:jc w:val="left"/>
      </w:pPr>
      <w:r>
        <w:rPr>
          <w:rFonts w:ascii="Times New Roman" w:hAnsi="Times New Roman"/>
          <w:b w:val="false"/>
          <w:i w:val="false"/>
          <w:color w:val="000000"/>
          <w:sz w:val="22"/>
        </w:rPr>
        <w:t>主要包括普通话语音知识讲授与普通话语音训练两方面的内容。前一方面是以《汉语拼音方案》为基础，运用语音学的原理，较为系统地讲述普通话有关的语音知识；后一方面是进行有效的训练，提高口语交际能力。通过本课程的学习，使中文专业学生对普通话语音系统应有较完整的了解，具有推行《汉语拼音方案》和使用、推广普通话的能力；同时在反复练习的基础上，能养成普通话的发音习惯，提高普通话语音水平，顺利通过普通话水平测试，达到国家规定的相应等级。</w:t>
      </w:r>
    </w:p>
    <w:p>
      <w:pPr>
        <w:spacing w:after="0"/>
        <w:ind w:left="0"/>
        <w:jc w:val="left"/>
      </w:pPr>
      <w:r>
        <w:rPr>
          <w:rFonts w:ascii="Times New Roman" w:hAnsi="Times New Roman"/>
          <w:b w:val="false"/>
          <w:i w:val="false"/>
          <w:color w:val="000000"/>
          <w:sz w:val="22"/>
        </w:rPr>
        <w:t>参考教材：</w:t>
      </w:r>
    </w:p>
    <w:p>
      <w:pPr>
        <w:spacing w:after="0"/>
        <w:ind w:left="0"/>
        <w:jc w:val="left"/>
      </w:pPr>
      <w:r>
        <w:rPr>
          <w:rFonts w:ascii="Times New Roman" w:hAnsi="Times New Roman"/>
          <w:b w:val="false"/>
          <w:i w:val="false"/>
          <w:color w:val="000000"/>
          <w:sz w:val="22"/>
        </w:rPr>
        <w:t>中国传媒大学播音与主持艺术学院. 播音主持语音与发声/播音与主持艺术专业“十二五”规划教材.</w:t>
      </w:r>
      <w:hyperlink r:id="rId8">
        <w:r>
          <w:rPr>
            <w:rFonts w:ascii="Times New Roman" w:hAnsi="Times New Roman"/>
            <w:b w:val="false"/>
            <w:i w:val="false"/>
            <w:color w:val="0000ff"/>
            <w:sz w:val="22"/>
            <w:u w:val="single"/>
          </w:rPr>
          <w:t>中国传媒大学出版社</w:t>
        </w:r>
      </w:hyperlink>
      <w:r>
        <w:rPr>
          <w:rFonts w:ascii="Times New Roman" w:hAnsi="Times New Roman"/>
          <w:b w:val="false"/>
          <w:i w:val="false"/>
          <w:color w:val="000000"/>
          <w:sz w:val="22"/>
        </w:rPr>
        <w:t>.2014.</w:t>
      </w:r>
    </w:p>
    <w:p>
      <w:pPr>
        <w:spacing w:after="0"/>
        <w:ind w:left="0"/>
        <w:jc w:val="left"/>
      </w:pPr>
      <w:r>
        <w:rPr>
          <w:rFonts w:ascii="Times New Roman" w:hAnsi="Times New Roman"/>
          <w:b w:val="false"/>
          <w:i w:val="false"/>
          <w:color w:val="000000"/>
          <w:sz w:val="22"/>
        </w:rPr>
        <w:t>参考书目:</w:t>
      </w:r>
    </w:p>
    <w:p>
      <w:pPr>
        <w:spacing w:after="0"/>
        <w:ind w:left="0"/>
        <w:jc w:val="left"/>
      </w:pPr>
      <w:r>
        <w:rPr>
          <w:rFonts w:ascii="Times New Roman" w:hAnsi="Times New Roman"/>
          <w:b w:val="false"/>
          <w:i w:val="false"/>
          <w:color w:val="000000"/>
          <w:sz w:val="22"/>
        </w:rPr>
        <w:t>杜青. 普通话语音学教程.中国广播电视出版社.1999.</w:t>
      </w:r>
    </w:p>
    <w:p>
      <w:pPr>
        <w:spacing w:after="0"/>
        <w:ind w:left="0"/>
        <w:jc w:val="left"/>
      </w:pPr>
      <w:r>
        <w:rPr>
          <w:rFonts w:ascii="Times New Roman" w:hAnsi="Times New Roman"/>
          <w:b w:val="false"/>
          <w:i w:val="false"/>
          <w:color w:val="000000"/>
          <w:sz w:val="22"/>
        </w:rPr>
        <w:t>张颂. 朗读学.北京广播学院出版社.1999.</w:t>
      </w:r>
    </w:p>
    <w:p>
      <w:pPr>
        <w:spacing w:after="0"/>
        <w:ind w:left="0"/>
        <w:jc w:val="left"/>
      </w:pPr>
      <w:r>
        <w:rPr>
          <w:rFonts w:ascii="Times New Roman" w:hAnsi="Times New Roman"/>
          <w:b w:val="false"/>
          <w:i w:val="false"/>
          <w:color w:val="000000"/>
          <w:sz w:val="22"/>
        </w:rPr>
        <w:t>吴家骅. 汉语方言概要（第二版）.文字改革出版社.1989.</w:t>
      </w:r>
    </w:p>
    <w:p>
      <w:pPr>
        <w:spacing w:after="0"/>
        <w:ind w:left="0"/>
        <w:jc w:val="left"/>
      </w:pPr>
      <w:r>
        <w:rPr>
          <w:rFonts w:ascii="Times New Roman" w:hAnsi="Times New Roman"/>
          <w:b w:val="false"/>
          <w:i w:val="false"/>
          <w:color w:val="000000"/>
          <w:sz w:val="22"/>
        </w:rPr>
        <w:t>颜逸明. 普通话水平测试指要.华东师范大学出版社.1997.</w:t>
      </w:r>
    </w:p>
    <w:p>
      <w:pPr>
        <w:spacing w:after="0"/>
        <w:ind w:left="0"/>
        <w:jc w:val="left"/>
      </w:pPr>
      <w:r>
        <w:rPr>
          <w:rFonts w:ascii="Times New Roman" w:hAnsi="Times New Roman"/>
          <w:b w:val="false"/>
          <w:i w:val="false"/>
          <w:color w:val="000000"/>
          <w:sz w:val="22"/>
        </w:rPr>
        <w:t>语言文字规范手册(增订本）. 语文出版社.1991.</w:t>
      </w:r>
    </w:p>
    <w:p>
      <w:pPr>
        <w:spacing w:after="0"/>
        <w:ind w:left="0"/>
        <w:jc w:val="left"/>
      </w:pPr>
      <w:r>
        <w:rPr>
          <w:rFonts w:ascii="Times New Roman" w:hAnsi="Times New Roman"/>
          <w:b w:val="false"/>
          <w:i w:val="false"/>
          <w:color w:val="000000"/>
          <w:sz w:val="22"/>
        </w:rPr>
        <w:t>四川省语言文字工作委员会办公室. 普通话水平测试训练教程.电子科技大学出版社.2003.</w:t>
      </w:r>
    </w:p>
    <w:p>
      <w:pPr>
        <w:spacing w:after="0"/>
        <w:ind w:left="0"/>
        <w:jc w:val="left"/>
      </w:pPr>
      <w:r>
        <w:rPr>
          <w:rFonts w:ascii="Times New Roman" w:hAnsi="Times New Roman"/>
          <w:b w:val="false"/>
          <w:i w:val="false"/>
          <w:color w:val="000000"/>
          <w:sz w:val="22"/>
        </w:rPr>
        <w:t> </w:t>
      </w:r>
    </w:p>
    <w:p>
      <w:pPr>
        <w:spacing w:after="0"/>
        <w:ind w:left="0"/>
        <w:jc w:val="left"/>
      </w:pPr>
      <w:r>
        <w:rPr>
          <w:rFonts w:ascii="Times New Roman" w:hAnsi="Times New Roman"/>
          <w:b w:val="false"/>
          <w:i w:val="false"/>
          <w:color w:val="000000"/>
          <w:sz w:val="22"/>
        </w:rPr>
        <w:t>5.课程编码：2003002       课程中文名称：播音发声学        课程英文名称：Mandarin Phonetics                     </w:t>
      </w:r>
    </w:p>
    <w:p>
      <w:pPr>
        <w:spacing w:after="0"/>
        <w:ind w:left="0"/>
        <w:jc w:val="left"/>
      </w:pPr>
      <w:r>
        <w:rPr>
          <w:rFonts w:ascii="Times New Roman" w:hAnsi="Times New Roman"/>
          <w:b w:val="false"/>
          <w:i w:val="false"/>
          <w:color w:val="000000"/>
          <w:sz w:val="22"/>
        </w:rPr>
        <w:t>总学分：4           总学时：48+32          考核方式：考试</w:t>
      </w:r>
    </w:p>
    <w:p>
      <w:pPr>
        <w:spacing w:after="0"/>
        <w:ind w:left="0"/>
        <w:jc w:val="left"/>
      </w:pPr>
      <w:r>
        <w:rPr>
          <w:rFonts w:ascii="Times New Roman" w:hAnsi="Times New Roman"/>
          <w:b w:val="false"/>
          <w:i w:val="false"/>
          <w:color w:val="000000"/>
          <w:sz w:val="22"/>
        </w:rPr>
        <w:t>课程简介：</w:t>
      </w:r>
    </w:p>
    <w:p>
      <w:pPr>
        <w:spacing w:after="0"/>
        <w:ind w:left="0"/>
        <w:jc w:val="left"/>
      </w:pPr>
      <w:r>
        <w:rPr>
          <w:rFonts w:ascii="Times New Roman" w:hAnsi="Times New Roman"/>
          <w:b w:val="false"/>
          <w:i w:val="false"/>
          <w:color w:val="000000"/>
          <w:sz w:val="22"/>
        </w:rPr>
        <w:t>播音发声学是播音专业的专业基础教程之一，目的是使播音主持专业学生掌握播音发声的理论，懂得练习方法的根据，以利于播音发声实践。播音发声是语言发声的一种，它的理论涉及到语言学、汉语普通话语音，以及发声的物理、心理机制和生理活动诸方面。播音发声学首先是对发音和吐字的训练，着重讲了播音发声时的气息控制、喉部控制、共鸣控制和口腔控制，对播音主持学习者进行系统的吐字归因的生理和心理训练。</w:t>
      </w:r>
    </w:p>
    <w:p>
      <w:pPr>
        <w:spacing w:after="0"/>
        <w:ind w:left="0"/>
        <w:jc w:val="left"/>
      </w:pPr>
      <w:r>
        <w:rPr>
          <w:rFonts w:ascii="Times New Roman" w:hAnsi="Times New Roman"/>
          <w:b w:val="false"/>
          <w:i w:val="false"/>
          <w:color w:val="000000"/>
          <w:sz w:val="22"/>
        </w:rPr>
        <w:t>参考教材：</w:t>
      </w:r>
    </w:p>
    <w:p>
      <w:pPr>
        <w:spacing w:after="0"/>
        <w:ind w:left="0"/>
        <w:jc w:val="left"/>
      </w:pPr>
      <w:r>
        <w:rPr>
          <w:rFonts w:ascii="Times New Roman" w:hAnsi="Times New Roman"/>
          <w:b w:val="false"/>
          <w:i w:val="false"/>
          <w:color w:val="000000"/>
          <w:sz w:val="22"/>
        </w:rPr>
        <w:t>中国传媒大学播音与主持艺术学院. 播音主持语音与发声/播音与主持艺术专业“十二五”规划教材.</w:t>
      </w:r>
      <w:hyperlink r:id="rId9">
        <w:r>
          <w:rPr>
            <w:rFonts w:ascii="Times New Roman" w:hAnsi="Times New Roman"/>
            <w:b w:val="false"/>
            <w:i w:val="false"/>
            <w:color w:val="0000ff"/>
            <w:sz w:val="22"/>
            <w:u w:val="single"/>
          </w:rPr>
          <w:t>中国传媒大学出版社</w:t>
        </w:r>
      </w:hyperlink>
      <w:r>
        <w:rPr>
          <w:rFonts w:ascii="Times New Roman" w:hAnsi="Times New Roman"/>
          <w:b w:val="false"/>
          <w:i w:val="false"/>
          <w:color w:val="000000"/>
          <w:sz w:val="22"/>
        </w:rPr>
        <w:t>.2014.</w:t>
      </w:r>
    </w:p>
    <w:p>
      <w:pPr>
        <w:spacing w:after="0"/>
        <w:ind w:left="0"/>
        <w:jc w:val="left"/>
      </w:pPr>
      <w:r>
        <w:rPr>
          <w:rFonts w:ascii="Times New Roman" w:hAnsi="Times New Roman"/>
          <w:b w:val="false"/>
          <w:i w:val="false"/>
          <w:color w:val="000000"/>
          <w:sz w:val="22"/>
        </w:rPr>
        <w:t>参考书目：</w:t>
      </w:r>
    </w:p>
    <w:p>
      <w:pPr>
        <w:spacing w:after="0"/>
        <w:ind w:left="0"/>
        <w:jc w:val="left"/>
      </w:pPr>
      <w:r>
        <w:rPr>
          <w:rFonts w:ascii="Times New Roman" w:hAnsi="Times New Roman"/>
          <w:b w:val="false"/>
          <w:i w:val="false"/>
          <w:color w:val="000000"/>
          <w:sz w:val="22"/>
        </w:rPr>
        <w:t>徐恒. 播音发声学.北京广播学院出版社.1985.</w:t>
      </w:r>
    </w:p>
    <w:p>
      <w:pPr>
        <w:spacing w:after="0"/>
        <w:ind w:left="0"/>
        <w:jc w:val="left"/>
      </w:pPr>
      <w:r>
        <w:rPr>
          <w:rFonts w:ascii="Times New Roman" w:hAnsi="Times New Roman"/>
          <w:b w:val="false"/>
          <w:i w:val="false"/>
          <w:color w:val="000000"/>
          <w:sz w:val="22"/>
        </w:rPr>
        <w:t>张颂. 中国播音学.北京广播学院出版社.2003.</w:t>
      </w:r>
    </w:p>
    <w:p>
      <w:pPr>
        <w:spacing w:after="0"/>
        <w:ind w:left="0"/>
        <w:jc w:val="left"/>
      </w:pPr>
      <w:r>
        <w:rPr>
          <w:rFonts w:ascii="Times New Roman" w:hAnsi="Times New Roman"/>
          <w:b w:val="false"/>
          <w:i w:val="false"/>
          <w:color w:val="000000"/>
          <w:sz w:val="22"/>
        </w:rPr>
        <w:t>王璐. 播音员主持人训练手册——语音发声.北京广播学院出版社.2001.</w:t>
      </w:r>
    </w:p>
    <w:p>
      <w:pPr>
        <w:spacing w:after="0"/>
        <w:ind w:left="0"/>
        <w:jc w:val="left"/>
      </w:pPr>
      <w:r>
        <w:rPr>
          <w:rFonts w:ascii="Times New Roman" w:hAnsi="Times New Roman"/>
          <w:b w:val="false"/>
          <w:i w:val="false"/>
          <w:color w:val="000000"/>
          <w:sz w:val="22"/>
        </w:rPr>
        <w:t>吴郁. 播音学简明教程（修订版）.中国传媒大学出版社.2004.</w:t>
      </w:r>
    </w:p>
    <w:p>
      <w:pPr>
        <w:spacing w:after="0"/>
        <w:ind w:left="0"/>
        <w:jc w:val="left"/>
      </w:pPr>
      <w:r>
        <w:rPr>
          <w:rFonts w:ascii="Times New Roman" w:hAnsi="Times New Roman"/>
          <w:b w:val="false"/>
          <w:i w:val="false"/>
          <w:color w:val="000000"/>
          <w:sz w:val="22"/>
        </w:rPr>
        <w:t>姚喜双. 播音学概论.中国传媒大学出版社.2002.</w:t>
      </w:r>
    </w:p>
    <w:p>
      <w:pPr>
        <w:spacing w:after="0"/>
        <w:ind w:left="0"/>
        <w:jc w:val="left"/>
      </w:pPr>
      <w:r>
        <w:rPr>
          <w:rFonts w:ascii="Times New Roman" w:hAnsi="Times New Roman"/>
          <w:b w:val="false"/>
          <w:i w:val="false"/>
          <w:color w:val="000000"/>
          <w:sz w:val="22"/>
        </w:rPr>
        <w:t> </w:t>
      </w:r>
    </w:p>
    <w:p>
      <w:pPr>
        <w:spacing w:after="0"/>
        <w:ind w:left="0"/>
        <w:jc w:val="left"/>
      </w:pPr>
      <w:r>
        <w:rPr>
          <w:rFonts w:ascii="Times New Roman" w:hAnsi="Times New Roman"/>
          <w:b w:val="false"/>
          <w:i w:val="false"/>
          <w:color w:val="000000"/>
          <w:sz w:val="22"/>
        </w:rPr>
        <w:t> </w:t>
      </w:r>
    </w:p>
    <w:p>
      <w:pPr>
        <w:spacing w:after="0"/>
        <w:ind w:left="0"/>
        <w:jc w:val="left"/>
      </w:pPr>
      <w:r>
        <w:rPr>
          <w:rFonts w:ascii="Times New Roman" w:hAnsi="Times New Roman"/>
          <w:b w:val="false"/>
          <w:i w:val="false"/>
          <w:color w:val="000000"/>
          <w:sz w:val="22"/>
        </w:rPr>
        <w:t> 6.课程编码：2003001         课程中文名称：播音创作基础            课程英文名称：Basis of Broadcast Creation</w:t>
      </w:r>
    </w:p>
    <w:p>
      <w:pPr>
        <w:spacing w:after="0"/>
        <w:ind w:left="0"/>
        <w:jc w:val="left"/>
      </w:pPr>
      <w:r>
        <w:rPr>
          <w:rFonts w:ascii="Times New Roman" w:hAnsi="Times New Roman"/>
          <w:b w:val="false"/>
          <w:i w:val="false"/>
          <w:color w:val="000000"/>
          <w:sz w:val="22"/>
        </w:rPr>
        <w:t>总学分：4       总学时： 48+32             考核方式:考试</w:t>
      </w:r>
    </w:p>
    <w:p>
      <w:pPr>
        <w:spacing w:after="0"/>
        <w:ind w:left="0"/>
        <w:jc w:val="left"/>
      </w:pPr>
      <w:r>
        <w:rPr>
          <w:rFonts w:ascii="Times New Roman" w:hAnsi="Times New Roman"/>
          <w:b w:val="false"/>
          <w:i w:val="false"/>
          <w:color w:val="000000"/>
          <w:sz w:val="22"/>
        </w:rPr>
        <w:t>课程简介：</w:t>
      </w:r>
    </w:p>
    <w:p>
      <w:pPr>
        <w:spacing w:after="0"/>
        <w:ind w:left="0"/>
        <w:jc w:val="left"/>
      </w:pPr>
      <w:r>
        <w:rPr>
          <w:rFonts w:ascii="Times New Roman" w:hAnsi="Times New Roman"/>
          <w:b w:val="false"/>
          <w:i w:val="false"/>
          <w:color w:val="000000"/>
          <w:sz w:val="22"/>
        </w:rPr>
        <w:t>内容主要是讲授文字稿本的特点、稿本的选题和编写。稿本是未来播音节目的基础，文字稿本要体现播音或主持节目的特性，因此要求学生能有把好选题关、根据其特点做好编写文字稿本的能力；另讲述播音专业基础理论，训练播音艺术技巧，指导学生进行不同节目类型业务处理以及电视广播新闻及电视专题片解说播音训练，让学生更快、更好地、较完整地掌握播音理论体系，并根据播音初中有针对性、有选择地进行单项学习目和训练。</w:t>
      </w:r>
    </w:p>
    <w:p>
      <w:pPr>
        <w:spacing w:after="0"/>
        <w:ind w:left="0"/>
        <w:jc w:val="left"/>
      </w:pPr>
      <w:r>
        <w:rPr>
          <w:rFonts w:ascii="Times New Roman" w:hAnsi="Times New Roman"/>
          <w:b w:val="false"/>
          <w:i w:val="false"/>
          <w:color w:val="000000"/>
          <w:sz w:val="22"/>
        </w:rPr>
        <w:t>参考教材:</w:t>
      </w:r>
    </w:p>
    <w:p>
      <w:pPr>
        <w:spacing w:after="0"/>
        <w:ind w:left="0"/>
        <w:jc w:val="left"/>
      </w:pPr>
      <w:r>
        <w:rPr>
          <w:rFonts w:ascii="Times New Roman" w:hAnsi="Times New Roman"/>
          <w:b w:val="false"/>
          <w:i w:val="false"/>
          <w:color w:val="000000"/>
          <w:sz w:val="22"/>
        </w:rPr>
        <w:t>贾宁，农必全. 播音创作实用基础（ 一版）.高等教育出版社.2022.</w:t>
      </w:r>
    </w:p>
    <w:p>
      <w:pPr>
        <w:spacing w:after="0"/>
        <w:ind w:left="0"/>
        <w:jc w:val="left"/>
      </w:pPr>
      <w:r>
        <w:rPr>
          <w:rFonts w:ascii="Times New Roman" w:hAnsi="Times New Roman"/>
          <w:b w:val="false"/>
          <w:i w:val="false"/>
          <w:color w:val="000000"/>
          <w:sz w:val="22"/>
        </w:rPr>
        <w:t>参考书目:</w:t>
      </w:r>
    </w:p>
    <w:p>
      <w:pPr>
        <w:spacing w:after="0"/>
        <w:ind w:left="0"/>
        <w:jc w:val="left"/>
      </w:pPr>
      <w:r>
        <w:rPr>
          <w:rFonts w:ascii="Times New Roman" w:hAnsi="Times New Roman"/>
          <w:b w:val="false"/>
          <w:i w:val="false"/>
          <w:color w:val="000000"/>
          <w:sz w:val="22"/>
        </w:rPr>
        <w:t>张颂、乔实.论播音艺术.北京广播学院出版社.1990.</w:t>
      </w:r>
    </w:p>
    <w:p>
      <w:pPr>
        <w:spacing w:after="0"/>
        <w:ind w:left="0"/>
        <w:jc w:val="left"/>
      </w:pPr>
      <w:r>
        <w:rPr>
          <w:rFonts w:ascii="Times New Roman" w:hAnsi="Times New Roman"/>
          <w:b w:val="false"/>
          <w:i w:val="false"/>
          <w:color w:val="000000"/>
          <w:sz w:val="22"/>
        </w:rPr>
        <w:t>罗莉.电视播音与主持艺术.北京广播学院出版社.2001.</w:t>
      </w:r>
    </w:p>
    <w:p>
      <w:pPr>
        <w:spacing w:after="0"/>
        <w:ind w:left="0"/>
        <w:jc w:val="left"/>
      </w:pPr>
      <w:r>
        <w:rPr>
          <w:rFonts w:ascii="Times New Roman" w:hAnsi="Times New Roman"/>
          <w:b w:val="false"/>
          <w:i w:val="false"/>
          <w:color w:val="000000"/>
          <w:sz w:val="22"/>
        </w:rPr>
        <w:t>陈京生.电视播音与主持.北京广播学院出版社.2000.</w:t>
      </w:r>
    </w:p>
    <w:p>
      <w:pPr>
        <w:spacing w:after="0"/>
        <w:ind w:left="0"/>
        <w:jc w:val="left"/>
      </w:pPr>
      <w:r>
        <w:rPr>
          <w:rFonts w:ascii="Times New Roman" w:hAnsi="Times New Roman"/>
          <w:b w:val="false"/>
          <w:i w:val="false"/>
          <w:color w:val="000000"/>
          <w:sz w:val="22"/>
        </w:rPr>
        <w:t>吴郁. 节目主持艺术探.北京广播学院出版社.</w:t>
      </w:r>
    </w:p>
    <w:p>
      <w:pPr>
        <w:spacing w:after="0"/>
        <w:ind w:left="0"/>
        <w:jc w:val="left"/>
      </w:pPr>
      <w:r>
        <w:rPr>
          <w:rFonts w:ascii="Times New Roman" w:hAnsi="Times New Roman"/>
          <w:b w:val="false"/>
          <w:i w:val="false"/>
          <w:color w:val="000000"/>
          <w:sz w:val="22"/>
        </w:rPr>
        <w:t>张颂.中国播音大全.北京广播学院音像教材出版社.1994.</w:t>
      </w:r>
    </w:p>
    <w:p>
      <w:pPr>
        <w:spacing w:after="0"/>
        <w:ind w:left="0"/>
        <w:jc w:val="left"/>
      </w:pPr>
      <w:r>
        <w:rPr>
          <w:rFonts w:ascii="Times New Roman" w:hAnsi="Times New Roman"/>
          <w:b w:val="false"/>
          <w:i w:val="false"/>
          <w:color w:val="000000"/>
          <w:sz w:val="22"/>
        </w:rPr>
        <w:t>北京广播学院.播音主持艺术（第一至第四辑.北京广播学院出版社.1999-2002</w:t>
      </w:r>
    </w:p>
    <w:p>
      <w:pPr>
        <w:spacing w:after="0"/>
        <w:ind w:left="0"/>
        <w:jc w:val="left"/>
      </w:pPr>
      <w:r>
        <w:rPr>
          <w:rFonts w:ascii="Times New Roman" w:hAnsi="Times New Roman"/>
          <w:b w:val="false"/>
          <w:i w:val="false"/>
          <w:color w:val="000000"/>
          <w:sz w:val="22"/>
        </w:rPr>
        <w:t> </w:t>
      </w:r>
    </w:p>
    <w:p>
      <w:pPr>
        <w:spacing w:after="0"/>
        <w:ind w:left="0"/>
        <w:jc w:val="left"/>
      </w:pPr>
      <w:r>
        <w:rPr>
          <w:rFonts w:ascii="Times New Roman" w:hAnsi="Times New Roman"/>
          <w:b w:val="false"/>
          <w:i w:val="false"/>
          <w:color w:val="000000"/>
          <w:sz w:val="22"/>
        </w:rPr>
        <w:t> </w:t>
      </w:r>
    </w:p>
    <w:p>
      <w:pPr>
        <w:spacing w:after="0"/>
        <w:ind w:left="0"/>
        <w:jc w:val="left"/>
      </w:pPr>
      <w:r>
        <w:rPr>
          <w:rFonts w:ascii="Times New Roman" w:hAnsi="Times New Roman"/>
          <w:b w:val="false"/>
          <w:i w:val="false"/>
          <w:color w:val="000000"/>
          <w:sz w:val="22"/>
        </w:rPr>
        <w:t>7.课程编码：2003008           课程中文名称：广播播音主持       课程英文名称：Broadcast and Telecast Emcee</w:t>
      </w:r>
    </w:p>
    <w:p>
      <w:pPr>
        <w:spacing w:after="0"/>
        <w:ind w:left="0"/>
        <w:jc w:val="left"/>
      </w:pPr>
      <w:r>
        <w:rPr>
          <w:rFonts w:ascii="Times New Roman" w:hAnsi="Times New Roman"/>
          <w:b w:val="false"/>
          <w:i w:val="false"/>
          <w:color w:val="000000"/>
          <w:sz w:val="22"/>
        </w:rPr>
        <w:t>总学分：4    总学时：48+32      考核方式:考试</w:t>
      </w:r>
    </w:p>
    <w:p>
      <w:pPr>
        <w:spacing w:after="0"/>
        <w:ind w:left="0"/>
        <w:jc w:val="left"/>
      </w:pPr>
      <w:r>
        <w:rPr>
          <w:rFonts w:ascii="Times New Roman" w:hAnsi="Times New Roman"/>
          <w:b w:val="false"/>
          <w:i w:val="false"/>
          <w:color w:val="000000"/>
          <w:sz w:val="22"/>
        </w:rPr>
        <w:t>课程简介：</w:t>
      </w:r>
    </w:p>
    <w:p>
      <w:pPr>
        <w:spacing w:after="0"/>
        <w:ind w:left="0"/>
        <w:jc w:val="left"/>
      </w:pPr>
      <w:r>
        <w:rPr>
          <w:rFonts w:ascii="Times New Roman" w:hAnsi="Times New Roman"/>
          <w:b w:val="false"/>
          <w:i w:val="false"/>
          <w:color w:val="000000"/>
          <w:sz w:val="22"/>
        </w:rPr>
        <w:t>课程内容主要包括新闻播音、评论播音、通讯播音、文艺播音和节目主持艺术概论等。通过本课程的学习，使学生能基本做到对不同体裁的稿件、不同形式的节目都能用相应的语体表达出来，达到广播电台播音与主持工作实战的要求。</w:t>
      </w:r>
    </w:p>
    <w:p>
      <w:pPr>
        <w:spacing w:after="0"/>
        <w:ind w:left="0"/>
        <w:jc w:val="left"/>
      </w:pPr>
      <w:r>
        <w:rPr>
          <w:rFonts w:ascii="Times New Roman" w:hAnsi="Times New Roman"/>
          <w:b w:val="false"/>
          <w:i w:val="false"/>
          <w:color w:val="000000"/>
          <w:sz w:val="22"/>
        </w:rPr>
        <w:t>参考教材:</w:t>
      </w:r>
    </w:p>
    <w:p>
      <w:pPr>
        <w:spacing w:after="0"/>
        <w:ind w:left="0"/>
        <w:jc w:val="left"/>
      </w:pPr>
      <w:r>
        <w:rPr>
          <w:rFonts w:ascii="Times New Roman" w:hAnsi="Times New Roman"/>
          <w:b w:val="false"/>
          <w:i w:val="false"/>
          <w:color w:val="000000"/>
          <w:sz w:val="22"/>
        </w:rPr>
        <w:t>庚钟银等. 广播播音主持.高等教育出版社.2023.</w:t>
      </w:r>
    </w:p>
    <w:p>
      <w:pPr>
        <w:spacing w:after="0"/>
        <w:ind w:left="0"/>
        <w:jc w:val="left"/>
      </w:pPr>
      <w:r>
        <w:rPr>
          <w:rFonts w:ascii="Times New Roman" w:hAnsi="Times New Roman"/>
          <w:b w:val="false"/>
          <w:i w:val="false"/>
          <w:color w:val="000000"/>
          <w:sz w:val="22"/>
        </w:rPr>
        <w:t>参考书目:</w:t>
      </w:r>
    </w:p>
    <w:p>
      <w:pPr>
        <w:spacing w:after="0"/>
        <w:ind w:left="0"/>
        <w:jc w:val="left"/>
      </w:pPr>
      <w:r>
        <w:rPr>
          <w:rFonts w:ascii="Times New Roman" w:hAnsi="Times New Roman"/>
          <w:b w:val="false"/>
          <w:i w:val="false"/>
          <w:color w:val="000000"/>
          <w:sz w:val="22"/>
        </w:rPr>
        <w:t>毕征. 播音文体业务理论.北京广播学院出版社.1994.</w:t>
      </w:r>
    </w:p>
    <w:p>
      <w:pPr>
        <w:spacing w:after="0"/>
        <w:ind w:left="0"/>
        <w:jc w:val="left"/>
      </w:pPr>
      <w:r>
        <w:rPr>
          <w:rFonts w:ascii="Times New Roman" w:hAnsi="Times New Roman"/>
          <w:b w:val="false"/>
          <w:i w:val="false"/>
          <w:color w:val="000000"/>
          <w:sz w:val="22"/>
        </w:rPr>
        <w:t>王璐. 语言艺术发声概论哈尔滨工大出版社.1990.</w:t>
      </w:r>
    </w:p>
    <w:p>
      <w:pPr>
        <w:spacing w:after="0"/>
        <w:ind w:left="0"/>
        <w:jc w:val="left"/>
      </w:pPr>
      <w:r>
        <w:rPr>
          <w:rFonts w:ascii="Times New Roman" w:hAnsi="Times New Roman"/>
          <w:b w:val="false"/>
          <w:i w:val="false"/>
          <w:color w:val="000000"/>
          <w:sz w:val="22"/>
        </w:rPr>
        <w:t>齐越. 献给祖国的声音.中国广播电视出版社.1998.</w:t>
      </w:r>
    </w:p>
    <w:p>
      <w:pPr>
        <w:spacing w:after="0"/>
        <w:ind w:left="0"/>
        <w:jc w:val="left"/>
      </w:pPr>
      <w:r>
        <w:rPr>
          <w:rFonts w:ascii="Times New Roman" w:hAnsi="Times New Roman"/>
          <w:b w:val="false"/>
          <w:i w:val="false"/>
          <w:color w:val="000000"/>
          <w:sz w:val="22"/>
        </w:rPr>
        <w:t>张颂、乔实. 论播音艺术.北京广播学院出版社.1990.</w:t>
      </w:r>
    </w:p>
    <w:p>
      <w:pPr>
        <w:spacing w:after="0"/>
        <w:ind w:left="0"/>
        <w:jc w:val="left"/>
      </w:pPr>
      <w:r>
        <w:rPr>
          <w:rFonts w:ascii="Times New Roman" w:hAnsi="Times New Roman"/>
          <w:b w:val="false"/>
          <w:i w:val="false"/>
          <w:color w:val="000000"/>
          <w:sz w:val="22"/>
        </w:rPr>
        <w:t>鲁景超. 广播电视即兴口语表达.北京广播学院出版社.2000.</w:t>
      </w:r>
    </w:p>
    <w:p>
      <w:pPr>
        <w:spacing w:after="0"/>
        <w:ind w:left="0"/>
        <w:jc w:val="left"/>
      </w:pPr>
      <w:r>
        <w:rPr>
          <w:rFonts w:ascii="Times New Roman" w:hAnsi="Times New Roman"/>
          <w:b w:val="false"/>
          <w:i w:val="false"/>
          <w:color w:val="000000"/>
          <w:sz w:val="22"/>
        </w:rPr>
        <w:t>吴郁. 节目主持人体态语.北京广播学院音像教材出版社.1998.</w:t>
      </w:r>
    </w:p>
    <w:p>
      <w:pPr>
        <w:spacing w:after="0"/>
        <w:ind w:left="0"/>
        <w:jc w:val="left"/>
      </w:pPr>
      <w:r>
        <w:rPr>
          <w:rFonts w:ascii="Times New Roman" w:hAnsi="Times New Roman"/>
          <w:b w:val="false"/>
          <w:i w:val="false"/>
          <w:color w:val="000000"/>
          <w:sz w:val="22"/>
        </w:rPr>
        <w:t>吴郁. 节目主持人的语言功力.北京广播学院音像教材出版社.1998.</w:t>
      </w:r>
    </w:p>
    <w:p>
      <w:pPr>
        <w:spacing w:after="0"/>
        <w:ind w:left="0"/>
        <w:jc w:val="left"/>
      </w:pPr>
      <w:r>
        <w:rPr>
          <w:rFonts w:ascii="Times New Roman" w:hAnsi="Times New Roman"/>
          <w:b w:val="false"/>
          <w:i w:val="false"/>
          <w:color w:val="000000"/>
          <w:sz w:val="22"/>
        </w:rPr>
        <w:t>张颂. 中国播音大全.北京广播学院音像教材出版社.1994.</w:t>
      </w:r>
    </w:p>
    <w:p>
      <w:pPr>
        <w:spacing w:after="0"/>
        <w:ind w:left="0"/>
        <w:jc w:val="left"/>
      </w:pPr>
      <w:r>
        <w:rPr>
          <w:rFonts w:ascii="Times New Roman" w:hAnsi="Times New Roman"/>
          <w:b w:val="false"/>
          <w:i w:val="false"/>
          <w:color w:val="000000"/>
          <w:sz w:val="22"/>
        </w:rPr>
        <w:t> </w:t>
      </w:r>
    </w:p>
    <w:p>
      <w:pPr>
        <w:spacing w:after="0"/>
        <w:ind w:left="0"/>
        <w:jc w:val="left"/>
      </w:pPr>
      <w:r>
        <w:rPr>
          <w:rFonts w:ascii="Times New Roman" w:hAnsi="Times New Roman"/>
          <w:b w:val="false"/>
          <w:i w:val="false"/>
          <w:color w:val="000000"/>
          <w:sz w:val="22"/>
        </w:rPr>
        <w:t> </w:t>
      </w:r>
    </w:p>
    <w:p>
      <w:pPr>
        <w:spacing w:after="0"/>
        <w:ind w:left="0"/>
        <w:jc w:val="left"/>
      </w:pPr>
      <w:r>
        <w:rPr>
          <w:rFonts w:ascii="Times New Roman" w:hAnsi="Times New Roman"/>
          <w:b w:val="false"/>
          <w:i w:val="false"/>
          <w:color w:val="000000"/>
          <w:sz w:val="22"/>
        </w:rPr>
        <w:t>8.课程编码：2003005             课程中文名称：电视播音主持           课程英文名称：Broadcast and Telecast Emcee</w:t>
      </w:r>
    </w:p>
    <w:p>
      <w:pPr>
        <w:spacing w:after="0"/>
        <w:ind w:left="0"/>
        <w:jc w:val="left"/>
      </w:pPr>
      <w:r>
        <w:rPr>
          <w:rFonts w:ascii="Times New Roman" w:hAnsi="Times New Roman"/>
          <w:b w:val="false"/>
          <w:i w:val="false"/>
          <w:color w:val="000000"/>
          <w:sz w:val="22"/>
        </w:rPr>
        <w:t>总学分：4       总学时：48+32          考核方式：考试</w:t>
      </w:r>
    </w:p>
    <w:p>
      <w:pPr>
        <w:spacing w:after="0"/>
        <w:ind w:left="0"/>
        <w:jc w:val="left"/>
      </w:pPr>
      <w:r>
        <w:rPr>
          <w:rFonts w:ascii="Times New Roman" w:hAnsi="Times New Roman"/>
          <w:b w:val="false"/>
          <w:i w:val="false"/>
          <w:color w:val="000000"/>
          <w:sz w:val="22"/>
        </w:rPr>
        <w:t>课程简介：</w:t>
      </w:r>
    </w:p>
    <w:p>
      <w:pPr>
        <w:spacing w:after="0"/>
        <w:ind w:left="0"/>
        <w:jc w:val="left"/>
      </w:pPr>
      <w:r>
        <w:rPr>
          <w:rFonts w:ascii="Times New Roman" w:hAnsi="Times New Roman"/>
          <w:b w:val="false"/>
          <w:i w:val="false"/>
          <w:color w:val="000000"/>
          <w:sz w:val="22"/>
        </w:rPr>
        <w:t>本课程从电视播音与主持的创作特性、创作规律、创作原则，加以相关个案分析与创作发展，对电视播音与主持进行研究。其中包括电视播音与电视节目主持艺术两大部分。电视播音重点探讨了播音创作的特点、处理规则、创作方法，以及存在的问题。电视节目主持艺术讲解了主持人节目的基本规律，各类节目对主持人具体的业务素质的要求以及各有特点的主持规律和方法。</w:t>
      </w:r>
    </w:p>
    <w:p>
      <w:pPr>
        <w:spacing w:after="0"/>
        <w:ind w:left="0"/>
        <w:jc w:val="left"/>
      </w:pPr>
      <w:r>
        <w:rPr>
          <w:rFonts w:ascii="Times New Roman" w:hAnsi="Times New Roman"/>
          <w:b w:val="false"/>
          <w:i w:val="false"/>
          <w:color w:val="000000"/>
          <w:sz w:val="22"/>
        </w:rPr>
        <w:t>参考教材：</w:t>
      </w:r>
    </w:p>
    <w:p>
      <w:pPr>
        <w:spacing w:after="0"/>
        <w:ind w:left="0"/>
        <w:jc w:val="left"/>
      </w:pPr>
      <w:r>
        <w:rPr>
          <w:rFonts w:ascii="Times New Roman" w:hAnsi="Times New Roman"/>
          <w:b w:val="false"/>
          <w:i w:val="false"/>
          <w:color w:val="000000"/>
          <w:sz w:val="22"/>
        </w:rPr>
        <w:t>庚钟银等. 电视播音主持.高等教育出版社.2023.</w:t>
      </w:r>
    </w:p>
    <w:p>
      <w:pPr>
        <w:spacing w:after="0"/>
        <w:ind w:left="0"/>
        <w:jc w:val="left"/>
      </w:pPr>
      <w:r>
        <w:rPr>
          <w:rFonts w:ascii="Times New Roman" w:hAnsi="Times New Roman"/>
          <w:b w:val="false"/>
          <w:i w:val="false"/>
          <w:color w:val="000000"/>
          <w:sz w:val="22"/>
        </w:rPr>
        <w:t>参考书目：</w:t>
      </w:r>
    </w:p>
    <w:p>
      <w:pPr>
        <w:spacing w:after="0"/>
        <w:ind w:left="0"/>
        <w:jc w:val="left"/>
      </w:pPr>
      <w:r>
        <w:rPr>
          <w:rFonts w:ascii="Times New Roman" w:hAnsi="Times New Roman"/>
          <w:b w:val="false"/>
          <w:i w:val="false"/>
          <w:color w:val="000000"/>
          <w:sz w:val="22"/>
        </w:rPr>
        <w:t>李晓华. 广播电视语言传播发声艺术概要.北京广播学院出版社.1999.</w:t>
      </w:r>
    </w:p>
    <w:p>
      <w:pPr>
        <w:spacing w:after="0"/>
        <w:ind w:left="0"/>
        <w:jc w:val="left"/>
      </w:pPr>
      <w:r>
        <w:rPr>
          <w:rFonts w:ascii="Times New Roman" w:hAnsi="Times New Roman"/>
          <w:b w:val="false"/>
          <w:i w:val="false"/>
          <w:color w:val="000000"/>
          <w:sz w:val="22"/>
        </w:rPr>
        <w:t>张颂. 中国播音大全.北京广播学院音像教材出版社.1994.</w:t>
      </w:r>
    </w:p>
    <w:p>
      <w:pPr>
        <w:spacing w:after="0"/>
        <w:ind w:left="0"/>
        <w:jc w:val="left"/>
      </w:pPr>
      <w:r>
        <w:rPr>
          <w:rFonts w:ascii="Times New Roman" w:hAnsi="Times New Roman"/>
          <w:b w:val="false"/>
          <w:i w:val="false"/>
          <w:color w:val="000000"/>
          <w:sz w:val="22"/>
        </w:rPr>
        <w:t>吴郁. 节目主持人的语言功力.北京广播学院音像教材出版社.1998.</w:t>
      </w:r>
    </w:p>
    <w:p>
      <w:pPr>
        <w:spacing w:after="0"/>
        <w:ind w:left="0"/>
        <w:jc w:val="left"/>
      </w:pPr>
      <w:r>
        <w:rPr>
          <w:rFonts w:ascii="Times New Roman" w:hAnsi="Times New Roman"/>
          <w:b w:val="false"/>
          <w:i w:val="false"/>
          <w:color w:val="000000"/>
          <w:sz w:val="22"/>
        </w:rPr>
        <w:t>张颂、乔实. 论播音艺术.北京广播学院出版社.2000.</w:t>
      </w:r>
    </w:p>
    <w:p>
      <w:pPr>
        <w:spacing w:after="0"/>
        <w:ind w:left="0"/>
        <w:jc w:val="left"/>
      </w:pPr>
      <w:r>
        <w:rPr>
          <w:rFonts w:ascii="Times New Roman" w:hAnsi="Times New Roman"/>
          <w:b w:val="false"/>
          <w:i w:val="false"/>
          <w:color w:val="000000"/>
          <w:sz w:val="22"/>
        </w:rPr>
        <w:t> </w:t>
      </w:r>
    </w:p>
    <w:p>
      <w:pPr>
        <w:spacing w:after="0"/>
        <w:ind w:left="0"/>
        <w:jc w:val="left"/>
      </w:pPr>
      <w:r>
        <w:rPr>
          <w:rFonts w:ascii="Times New Roman" w:hAnsi="Times New Roman"/>
          <w:b w:val="false"/>
          <w:i w:val="false"/>
          <w:color w:val="000000"/>
          <w:sz w:val="22"/>
        </w:rPr>
        <w:t>9.课程编码：2003024          课程中文名称： 文艺作品演播          课程英文名字：Literang works Performance </w:t>
      </w:r>
    </w:p>
    <w:p>
      <w:pPr>
        <w:spacing w:after="0"/>
        <w:ind w:left="0"/>
        <w:jc w:val="left"/>
      </w:pPr>
      <w:r>
        <w:rPr>
          <w:rFonts w:ascii="Times New Roman" w:hAnsi="Times New Roman"/>
          <w:b w:val="false"/>
          <w:i w:val="false"/>
          <w:color w:val="000000"/>
          <w:sz w:val="22"/>
        </w:rPr>
        <w:t>总学分：4                                                            总学时：48+32       考核方式：考试</w:t>
      </w:r>
    </w:p>
    <w:p>
      <w:pPr>
        <w:spacing w:after="0"/>
        <w:ind w:left="0"/>
        <w:jc w:val="left"/>
      </w:pPr>
      <w:r>
        <w:rPr>
          <w:rFonts w:ascii="Times New Roman" w:hAnsi="Times New Roman"/>
          <w:b w:val="false"/>
          <w:i w:val="false"/>
          <w:color w:val="000000"/>
          <w:sz w:val="22"/>
        </w:rPr>
        <w:t>课程简介：</w:t>
      </w:r>
    </w:p>
    <w:p>
      <w:pPr>
        <w:spacing w:after="0"/>
        <w:ind w:left="0"/>
        <w:jc w:val="left"/>
      </w:pPr>
      <w:r>
        <w:rPr>
          <w:rFonts w:ascii="Times New Roman" w:hAnsi="Times New Roman"/>
          <w:b w:val="false"/>
          <w:i w:val="false"/>
          <w:color w:val="000000"/>
          <w:sz w:val="22"/>
        </w:rPr>
        <w:t>文艺作品演播是学习播音主持、表演的必修棵之一。在本课程中包括了诗歌、散文、寓言、童话、小说、广播剧和影视配音诸种样式的有声语言表达。目的在于通过对学生有针对性的分文体的练习，最终使学生能够更深刻，更准确的理解和表达稿件。</w:t>
      </w:r>
    </w:p>
    <w:p>
      <w:pPr>
        <w:spacing w:after="0"/>
        <w:ind w:left="0"/>
        <w:jc w:val="left"/>
      </w:pPr>
      <w:r>
        <w:rPr>
          <w:rFonts w:ascii="Times New Roman" w:hAnsi="Times New Roman"/>
          <w:b w:val="false"/>
          <w:i w:val="false"/>
          <w:color w:val="000000"/>
          <w:sz w:val="22"/>
        </w:rPr>
        <w:t>参考教材：</w:t>
      </w:r>
    </w:p>
    <w:p>
      <w:pPr>
        <w:spacing w:after="0"/>
        <w:ind w:left="0"/>
        <w:jc w:val="left"/>
      </w:pPr>
      <w:r>
        <w:rPr>
          <w:rFonts w:ascii="Times New Roman" w:hAnsi="Times New Roman"/>
          <w:b w:val="false"/>
          <w:i w:val="false"/>
          <w:color w:val="000000"/>
          <w:sz w:val="22"/>
        </w:rPr>
        <w:t>罗莉、王明军. 文艺作品演播选.</w:t>
      </w:r>
      <w:hyperlink r:id="rId10">
        <w:r>
          <w:rPr>
            <w:rFonts w:ascii="Times New Roman" w:hAnsi="Times New Roman"/>
            <w:b w:val="false"/>
            <w:i w:val="false"/>
            <w:color w:val="0000ff"/>
            <w:sz w:val="22"/>
            <w:u w:val="single"/>
          </w:rPr>
          <w:t>中国传媒大学出版社</w:t>
        </w:r>
      </w:hyperlink>
      <w:r>
        <w:rPr>
          <w:rFonts w:ascii="Times New Roman" w:hAnsi="Times New Roman"/>
          <w:b w:val="false"/>
          <w:i w:val="false"/>
          <w:color w:val="000000"/>
          <w:sz w:val="22"/>
        </w:rPr>
        <w:t>.2009.</w:t>
      </w:r>
    </w:p>
    <w:p>
      <w:pPr>
        <w:spacing w:after="0"/>
        <w:ind w:left="0"/>
        <w:jc w:val="left"/>
      </w:pPr>
      <w:r>
        <w:rPr>
          <w:rFonts w:ascii="Times New Roman" w:hAnsi="Times New Roman"/>
          <w:b w:val="false"/>
          <w:i w:val="false"/>
          <w:color w:val="000000"/>
          <w:sz w:val="22"/>
        </w:rPr>
        <w:t>参考书目：</w:t>
      </w:r>
    </w:p>
    <w:p>
      <w:pPr>
        <w:spacing w:after="0"/>
        <w:ind w:left="0"/>
        <w:jc w:val="left"/>
      </w:pPr>
      <w:r>
        <w:rPr>
          <w:rFonts w:ascii="Times New Roman" w:hAnsi="Times New Roman"/>
          <w:b w:val="false"/>
          <w:i w:val="false"/>
          <w:color w:val="000000"/>
          <w:sz w:val="22"/>
        </w:rPr>
        <w:t>张颂. 广播电视语言文字规范化文集.北京广播学院出版社.1996.</w:t>
      </w:r>
    </w:p>
    <w:p>
      <w:pPr>
        <w:spacing w:after="0"/>
        <w:ind w:left="0"/>
        <w:jc w:val="left"/>
      </w:pPr>
      <w:r>
        <w:rPr>
          <w:rFonts w:ascii="Times New Roman" w:hAnsi="Times New Roman"/>
          <w:b w:val="false"/>
          <w:i w:val="false"/>
          <w:color w:val="000000"/>
          <w:sz w:val="22"/>
        </w:rPr>
        <w:t>张颂、乔实. 论播音艺术.北京广播学院出版社.2000.</w:t>
      </w:r>
    </w:p>
    <w:p>
      <w:pPr>
        <w:spacing w:after="0"/>
        <w:ind w:left="0"/>
        <w:jc w:val="left"/>
      </w:pPr>
      <w:r>
        <w:rPr>
          <w:rFonts w:ascii="Times New Roman" w:hAnsi="Times New Roman"/>
          <w:b w:val="false"/>
          <w:i w:val="false"/>
          <w:color w:val="000000"/>
          <w:sz w:val="22"/>
        </w:rPr>
        <w:t>齐越. 献给祖国的声音.中国广播电视出版社.1998</w:t>
      </w:r>
    </w:p>
    <w:p>
      <w:pPr>
        <w:spacing w:after="0"/>
        <w:ind w:left="0"/>
        <w:jc w:val="left"/>
      </w:pPr>
      <w:r>
        <w:rPr>
          <w:rFonts w:ascii="Times New Roman" w:hAnsi="Times New Roman"/>
          <w:b w:val="false"/>
          <w:i w:val="false"/>
          <w:color w:val="000000"/>
          <w:sz w:val="22"/>
        </w:rPr>
        <w:t>付程. 实用播音教程——语言表达艺术. 中国传媒大学出版社.2003.</w:t>
      </w:r>
    </w:p>
    <w:p>
      <w:pPr>
        <w:spacing w:after="0"/>
        <w:ind w:left="0"/>
        <w:jc w:val="left"/>
      </w:pPr>
      <w:r>
        <w:rPr>
          <w:rFonts w:ascii="Times New Roman" w:hAnsi="Times New Roman"/>
          <w:b w:val="false"/>
          <w:i w:val="false"/>
          <w:color w:val="000000"/>
          <w:sz w:val="22"/>
        </w:rPr>
        <w:t>张颂. 广播电视语言艺术——中国广播电视语言传播研究.中国传媒大学出版社.2003.</w:t>
      </w:r>
    </w:p>
    <w:p>
      <w:pPr>
        <w:spacing w:after="0"/>
        <w:ind w:left="0"/>
        <w:jc w:val="left"/>
      </w:pPr>
      <w:r>
        <w:rPr>
          <w:rFonts w:ascii="Times New Roman" w:hAnsi="Times New Roman"/>
          <w:b/>
          <w:i w:val="false"/>
          <w:color w:val="000000"/>
        </w:rPr>
        <w:t>五 学制与学分、毕业与授位</w:t>
      </w:r>
      <w:bookmarkStart w:id="4" w:name="5"/>
      <w:bookmarkEnd w:id="4"/>
    </w:p>
    <w:p>
      <w:pPr>
        <w:spacing w:after="0"/>
        <w:ind w:left="0"/>
        <w:jc w:val="left"/>
      </w:pPr>
      <w:r>
        <w:rPr>
          <w:rFonts w:ascii="Times New Roman" w:hAnsi="Times New Roman"/>
          <w:b/>
          <w:i w:val="false"/>
          <w:color w:val="000000"/>
          <w:sz w:val="22"/>
        </w:rPr>
        <w:t>（一）学制年限：</w:t>
      </w:r>
      <w:r>
        <w:rPr>
          <w:rFonts w:ascii="Times New Roman" w:hAnsi="Times New Roman"/>
          <w:b w:val="false"/>
          <w:i w:val="false"/>
          <w:color w:val="000000"/>
          <w:sz w:val="22"/>
        </w:rPr>
        <w:t>本科基本学制4年，弹性修业年限3－6年；专科学生在校学习时间可延长至4年（按照《西华师范大学全日制本、专科学生学籍管理办法》规定实施）。</w:t>
      </w:r>
    </w:p>
    <w:p>
      <w:pPr>
        <w:spacing w:after="0"/>
        <w:ind w:left="0"/>
        <w:jc w:val="left"/>
      </w:pPr>
      <w:r>
        <w:rPr>
          <w:rFonts w:ascii="Times New Roman" w:hAnsi="Times New Roman"/>
          <w:b/>
          <w:i w:val="false"/>
          <w:color w:val="000000"/>
          <w:sz w:val="22"/>
        </w:rPr>
        <w:t>（二）毕业学分</w:t>
      </w:r>
      <w:r>
        <w:rPr>
          <w:rFonts w:ascii="Times New Roman" w:hAnsi="Times New Roman"/>
          <w:b w:val="false"/>
          <w:i w:val="false"/>
          <w:color w:val="000000"/>
          <w:sz w:val="22"/>
        </w:rPr>
        <w:t>：本科专业主修学位毕业148学分；</w:t>
      </w:r>
    </w:p>
    <w:p>
      <w:pPr>
        <w:spacing w:after="0"/>
        <w:ind w:left="0"/>
        <w:jc w:val="left"/>
      </w:pPr>
      <w:r>
        <w:rPr>
          <w:rFonts w:ascii="Times New Roman" w:hAnsi="Times New Roman"/>
          <w:b/>
          <w:i w:val="false"/>
          <w:color w:val="000000"/>
          <w:sz w:val="22"/>
        </w:rPr>
        <w:t>（三）学业考核与毕业条件：</w:t>
      </w:r>
      <w:r>
        <w:rPr>
          <w:rFonts w:ascii="Times New Roman" w:hAnsi="Times New Roman"/>
          <w:b w:val="false"/>
          <w:i w:val="false"/>
          <w:color w:val="000000"/>
          <w:sz w:val="22"/>
        </w:rPr>
        <w:t>学生学业成绩的考核分考试和考查两种。学生在培养方案规定的学习年限内，达到《西华师范大学全日制本、专科学生学籍管理办法》规定的毕业条件，准予毕业。其中，本科毕业生必须达到第二课堂规定的合格条件，并获得本专业培养方案规定的最低毕业学分方能毕业。</w:t>
      </w:r>
    </w:p>
    <w:p>
      <w:pPr>
        <w:spacing w:after="0"/>
        <w:ind w:left="0"/>
        <w:jc w:val="left"/>
      </w:pPr>
      <w:r>
        <w:rPr>
          <w:rFonts w:ascii="Times New Roman" w:hAnsi="Times New Roman"/>
          <w:b/>
          <w:i w:val="false"/>
          <w:color w:val="000000"/>
          <w:sz w:val="22"/>
        </w:rPr>
        <w:t>（四）授予学位</w:t>
      </w:r>
      <w:r>
        <w:rPr>
          <w:rFonts w:ascii="Times New Roman" w:hAnsi="Times New Roman"/>
          <w:b w:val="false"/>
          <w:i w:val="false"/>
          <w:color w:val="000000"/>
          <w:sz w:val="22"/>
        </w:rPr>
        <w:t>：艺术学学士学位。</w:t>
      </w:r>
    </w:p>
    <w:p>
      <w:pPr>
        <w:spacing w:after="0"/>
        <w:ind w:left="0"/>
        <w:jc w:val="left"/>
      </w:pPr>
      <w:r>
        <w:rPr>
          <w:rFonts w:ascii="Times New Roman" w:hAnsi="Times New Roman"/>
          <w:b/>
          <w:i w:val="false"/>
          <w:color w:val="000000"/>
        </w:rPr>
        <w:t>六 课程结构及学分比例</w:t>
      </w:r>
      <w:bookmarkStart w:id="5" w:name="6"/>
      <w:bookmarkEnd w:id="5"/>
    </w:p>
    <w:p>
      <w:pPr>
        <w:spacing w:after="0"/>
        <w:ind w:left="0"/>
        <w:jc w:val="left"/>
      </w:pPr>
    </w:p>
    <w:tbl>
      <w:tblPr>
        <w:tblW w:w="0" w:type="auto"/>
        <w:tblCellSpacing w:w="0" w:type="auto"/>
        <w:tblBorders>
          <w:top w:val="none"/>
          <w:left w:val="none"/>
          <w:bottom w:val="none"/>
          <w:right w:val="none"/>
          <w:insideH w:val="none"/>
          <w:insideV w:val="none"/>
        </w:tblBorders>
      </w:tblPr>
      <w:tblGrid>
        <w:gridCol w:w="3881"/>
        <w:gridCol w:w="3882"/>
        <w:gridCol w:w="2589"/>
        <w:gridCol w:w="2605"/>
        <w:gridCol w:w="677"/>
      </w:tblGrid>
      <w:tr>
        <w:trPr>
          <w:trHeight w:val="45" w:hRule="atLeast"/>
        </w:trPr>
        <w:tc>
          <w:tcPr>
            <w:tcW w:w="0" w:type="auto"/>
            <w:gridSpan w:val="2"/>
            <w:tcBorders>
              <w:top w:val="single" w:color="000000" w:sz="8"/>
              <w:left w:val="single" w:color="000000" w:sz="8"/>
              <w:bottom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i w:val="false"/>
                <w:color w:val="000000"/>
                <w:sz w:val="16"/>
              </w:rPr>
              <w:t>课程模块</w:t>
            </w:r>
          </w:p>
        </w:tc>
        <w:tc>
          <w:tcPr>
            <w:tcW w:w="2589" w:type="dxa"/>
            <w:tcBorders>
              <w:top w:val="single" w:color="000000" w:sz="8"/>
              <w:left w:val="single" w:color="000000" w:sz="8"/>
              <w:bottom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i w:val="false"/>
                <w:color w:val="000000"/>
                <w:sz w:val="16"/>
              </w:rPr>
              <w:t>修读性质</w:t>
            </w:r>
          </w:p>
        </w:tc>
        <w:tc>
          <w:tcPr>
            <w:tcW w:w="2605" w:type="dxa"/>
            <w:tcBorders>
              <w:top w:val="single" w:color="000000" w:sz="8"/>
              <w:left w:val="single" w:color="000000" w:sz="8"/>
              <w:bottom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i w:val="false"/>
                <w:color w:val="000000"/>
                <w:sz w:val="16"/>
              </w:rPr>
              <w:t>修读学分</w:t>
            </w:r>
          </w:p>
        </w:tc>
        <w:tc>
          <w:tcPr>
            <w:tcW w:w="677" w:type="dxa"/>
            <w:tcBorders>
              <w:top w:val="single" w:color="000000" w:sz="8"/>
              <w:left w:val="single" w:color="000000" w:sz="8"/>
              <w:bottom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i w:val="false"/>
                <w:color w:val="000000"/>
                <w:sz w:val="16"/>
              </w:rPr>
              <w:t>占总学分（%）</w:t>
            </w:r>
          </w:p>
        </w:tc>
      </w:tr>
      <w:tr>
        <w:trPr>
          <w:trHeight w:val="45" w:hRule="atLeast"/>
        </w:trPr>
        <w:tc>
          <w:tcPr>
            <w:tcW w:w="3881" w:type="dxa"/>
            <w:vMerge w:val="restart"/>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通识教育课程</w:t>
            </w:r>
          </w:p>
        </w:tc>
        <w:tc>
          <w:tcPr>
            <w:tcW w:w="3882"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通识教育课程（必修课）</w:t>
            </w:r>
          </w:p>
        </w:tc>
        <w:tc>
          <w:tcPr>
            <w:tcW w:w="2589"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选修</w:t>
            </w:r>
          </w:p>
        </w:tc>
        <w:tc>
          <w:tcPr>
            <w:tcW w:w="260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47</w:t>
            </w:r>
          </w:p>
        </w:tc>
        <w:tc>
          <w:tcPr>
            <w:tcW w:w="677" w:type="dxa"/>
            <w:vMerge w:val="restart"/>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37.16%</w:t>
            </w:r>
          </w:p>
        </w:tc>
      </w:tr>
      <w:tr>
        <w:trPr>
          <w:trHeight w:val="45" w:hRule="atLeast"/>
        </w:trPr>
        <w:tc>
          <w:tcPr>
            <w:tcW w:w="0" w:type="auto"/>
            <w:vMerge/>
            <w:tcBorders>
              <w:top w:val="nil"/>
              <w:left w:val="single" w:color="000000" w:sz="8"/>
            </w:tcBorders>
          </w:tcPr>
          <w:p/>
        </w:tc>
        <w:tc>
          <w:tcPr>
            <w:tcW w:w="3882"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通识教育课程（选修课）</w:t>
            </w:r>
          </w:p>
        </w:tc>
        <w:tc>
          <w:tcPr>
            <w:tcW w:w="2589"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选修</w:t>
            </w:r>
          </w:p>
        </w:tc>
        <w:tc>
          <w:tcPr>
            <w:tcW w:w="2605"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8</w:t>
            </w:r>
          </w:p>
        </w:tc>
        <w:tc>
          <w:tcPr>
            <w:tcW w:w="0" w:type="auto"/>
            <w:vMerge/>
            <w:tcBorders>
              <w:top w:val="nil"/>
              <w:left w:val="single" w:color="000000" w:sz="8"/>
              <w:right w:val="single" w:color="000000" w:sz="8"/>
            </w:tcBorders>
          </w:tcPr>
          <w:p/>
        </w:tc>
      </w:tr>
      <w:tr>
        <w:trPr>
          <w:trHeight w:val="45" w:hRule="atLeast"/>
        </w:trPr>
        <w:tc>
          <w:tcPr>
            <w:tcW w:w="3881" w:type="dxa"/>
            <w:vMerge w:val="restart"/>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专业教育课程</w:t>
            </w:r>
          </w:p>
        </w:tc>
        <w:tc>
          <w:tcPr>
            <w:tcW w:w="3882"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专业基础课程</w:t>
            </w:r>
          </w:p>
        </w:tc>
        <w:tc>
          <w:tcPr>
            <w:tcW w:w="2589"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必修</w:t>
            </w:r>
          </w:p>
        </w:tc>
        <w:tc>
          <w:tcPr>
            <w:tcW w:w="260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14</w:t>
            </w:r>
          </w:p>
        </w:tc>
        <w:tc>
          <w:tcPr>
            <w:tcW w:w="677" w:type="dxa"/>
            <w:vMerge w:val="restart"/>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54.05%</w:t>
            </w:r>
          </w:p>
        </w:tc>
      </w:tr>
      <w:tr>
        <w:trPr>
          <w:trHeight w:val="45" w:hRule="atLeast"/>
        </w:trPr>
        <w:tc>
          <w:tcPr>
            <w:tcW w:w="0" w:type="auto"/>
            <w:vMerge/>
            <w:tcBorders>
              <w:top w:val="nil"/>
              <w:left w:val="single" w:color="000000" w:sz="8"/>
            </w:tcBorders>
          </w:tcPr>
          <w:p/>
        </w:tc>
        <w:tc>
          <w:tcPr>
            <w:tcW w:w="3882"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专业核心课程</w:t>
            </w:r>
          </w:p>
        </w:tc>
        <w:tc>
          <w:tcPr>
            <w:tcW w:w="2589"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必修</w:t>
            </w:r>
          </w:p>
        </w:tc>
        <w:tc>
          <w:tcPr>
            <w:tcW w:w="2605"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27</w:t>
            </w:r>
          </w:p>
        </w:tc>
        <w:tc>
          <w:tcPr>
            <w:tcW w:w="0" w:type="auto"/>
            <w:vMerge/>
            <w:tcBorders>
              <w:top w:val="nil"/>
              <w:left w:val="single" w:color="000000" w:sz="8"/>
              <w:right w:val="single" w:color="000000" w:sz="8"/>
            </w:tcBorders>
          </w:tcPr>
          <w:p/>
        </w:tc>
      </w:tr>
      <w:tr>
        <w:trPr>
          <w:trHeight w:val="45" w:hRule="atLeast"/>
        </w:trPr>
        <w:tc>
          <w:tcPr>
            <w:tcW w:w="0" w:type="auto"/>
            <w:vMerge/>
            <w:tcBorders>
              <w:top w:val="nil"/>
              <w:left w:val="single" w:color="000000" w:sz="8"/>
            </w:tcBorders>
          </w:tcPr>
          <w:p/>
        </w:tc>
        <w:tc>
          <w:tcPr>
            <w:tcW w:w="3882"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专业发展课程</w:t>
            </w:r>
          </w:p>
        </w:tc>
        <w:tc>
          <w:tcPr>
            <w:tcW w:w="2589"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选修</w:t>
            </w:r>
          </w:p>
        </w:tc>
        <w:tc>
          <w:tcPr>
            <w:tcW w:w="2605"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39</w:t>
            </w:r>
          </w:p>
        </w:tc>
        <w:tc>
          <w:tcPr>
            <w:tcW w:w="0" w:type="auto"/>
            <w:vMerge/>
            <w:tcBorders>
              <w:top w:val="nil"/>
              <w:left w:val="single" w:color="000000" w:sz="8"/>
              <w:right w:val="single" w:color="000000" w:sz="8"/>
            </w:tcBorders>
          </w:tcPr>
          <w:p/>
        </w:tc>
      </w:tr>
      <w:tr>
        <w:trPr>
          <w:trHeight w:val="45" w:hRule="atLeast"/>
        </w:trPr>
        <w:tc>
          <w:tcPr>
            <w:tcW w:w="38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综合实践课程</w:t>
            </w:r>
          </w:p>
        </w:tc>
        <w:tc>
          <w:tcPr>
            <w:tcW w:w="3882" w:type="dxa"/>
            <w:tcBorders>
              <w:top w:val="single" w:color="000000" w:sz="8"/>
              <w:left w:val="single" w:color="000000" w:sz="8"/>
            </w:tcBorders>
            <w:tcMar>
              <w:top w:w="15" w:type="dxa"/>
              <w:left w:w="15" w:type="dxa"/>
              <w:bottom w:w="15" w:type="dxa"/>
              <w:right w:w="15" w:type="dxa"/>
            </w:tcMar>
            <w:vAlign w:val="center"/>
          </w:tcPr>
          <w:p/>
        </w:tc>
        <w:tc>
          <w:tcPr>
            <w:tcW w:w="2589"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必修</w:t>
            </w:r>
          </w:p>
        </w:tc>
        <w:tc>
          <w:tcPr>
            <w:tcW w:w="260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13</w:t>
            </w:r>
          </w:p>
        </w:tc>
        <w:tc>
          <w:tcPr>
            <w:tcW w:w="677"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8.78%</w:t>
            </w:r>
          </w:p>
        </w:tc>
      </w:tr>
      <w:tr>
        <w:trPr>
          <w:trHeight w:val="45" w:hRule="atLeast"/>
        </w:trPr>
        <w:tc>
          <w:tcPr>
            <w:tcW w:w="3881" w:type="dxa"/>
            <w:tcBorders>
              <w:top w:val="single" w:color="000000" w:sz="8"/>
              <w:left w:val="single" w:color="000000" w:sz="8"/>
              <w:bottom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合计</w:t>
            </w:r>
          </w:p>
        </w:tc>
        <w:tc>
          <w:tcPr>
            <w:tcW w:w="3882" w:type="dxa"/>
            <w:tcBorders>
              <w:top w:val="single" w:color="000000" w:sz="8"/>
              <w:left w:val="single" w:color="000000" w:sz="8"/>
              <w:bottom w:val="single" w:color="000000" w:sz="8"/>
            </w:tcBorders>
            <w:tcMar>
              <w:top w:w="15" w:type="dxa"/>
              <w:left w:w="15" w:type="dxa"/>
              <w:bottom w:w="15" w:type="dxa"/>
              <w:right w:w="15" w:type="dxa"/>
            </w:tcMar>
            <w:vAlign w:val="center"/>
          </w:tcPr>
          <w:p/>
        </w:tc>
        <w:tc>
          <w:tcPr>
            <w:tcW w:w="2589" w:type="dxa"/>
            <w:tcBorders>
              <w:top w:val="single" w:color="000000" w:sz="8"/>
              <w:left w:val="single" w:color="000000" w:sz="8"/>
              <w:bottom w:val="single" w:color="000000" w:sz="8"/>
            </w:tcBorders>
            <w:tcMar>
              <w:top w:w="15" w:type="dxa"/>
              <w:left w:w="15" w:type="dxa"/>
              <w:bottom w:w="15" w:type="dxa"/>
              <w:right w:w="15" w:type="dxa"/>
            </w:tcMar>
            <w:vAlign w:val="center"/>
          </w:tcPr>
          <w:p/>
        </w:tc>
        <w:tc>
          <w:tcPr>
            <w:tcW w:w="2605" w:type="dxa"/>
            <w:tcBorders>
              <w:top w:val="single" w:color="000000" w:sz="8"/>
              <w:left w:val="single" w:color="000000" w:sz="8"/>
              <w:bottom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148</w:t>
            </w:r>
          </w:p>
        </w:tc>
        <w:tc>
          <w:tcPr>
            <w:tcW w:w="677" w:type="dxa"/>
            <w:tcBorders>
              <w:top w:val="single" w:color="000000" w:sz="8"/>
              <w:left w:val="single" w:color="000000" w:sz="8"/>
              <w:bottom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100%</w:t>
            </w:r>
          </w:p>
        </w:tc>
      </w:tr>
    </w:tbl>
    <w:p>
      <w:pPr>
        <w:spacing w:after="0"/>
        <w:ind w:left="0"/>
        <w:jc w:val="left"/>
      </w:pPr>
      <w:r>
        <w:rPr>
          <w:rFonts w:ascii="Times New Roman" w:hAnsi="Times New Roman"/>
          <w:b/>
          <w:i w:val="false"/>
          <w:color w:val="000000"/>
        </w:rPr>
        <w:t>七 课程设置</w:t>
      </w:r>
      <w:bookmarkStart w:id="6" w:name="7"/>
      <w:bookmarkEnd w:id="6"/>
    </w:p>
    <w:p>
      <w:pPr>
        <w:spacing w:after="0"/>
        <w:ind w:left="0"/>
        <w:jc w:val="left"/>
      </w:pPr>
    </w:p>
    <w:tbl>
      <w:tblPr>
        <w:tblW w:w="0" w:type="auto"/>
        <w:tblCellSpacing w:w="0" w:type="auto"/>
        <w:tblBorders>
          <w:top w:val="none"/>
          <w:left w:val="none"/>
          <w:bottom w:val="none"/>
          <w:right w:val="none"/>
          <w:insideH w:val="none"/>
          <w:insideV w:val="none"/>
        </w:tblBorders>
      </w:tblPr>
      <w:tblGrid>
        <w:gridCol w:w="724"/>
        <w:gridCol w:w="724"/>
        <w:gridCol w:w="724"/>
        <w:gridCol w:w="870"/>
        <w:gridCol w:w="1741"/>
        <w:gridCol w:w="435"/>
        <w:gridCol w:w="435"/>
        <w:gridCol w:w="580"/>
        <w:gridCol w:w="580"/>
        <w:gridCol w:w="580"/>
        <w:gridCol w:w="580"/>
        <w:gridCol w:w="580"/>
        <w:gridCol w:w="580"/>
        <w:gridCol w:w="580"/>
        <w:gridCol w:w="580"/>
        <w:gridCol w:w="871"/>
        <w:gridCol w:w="581"/>
        <w:gridCol w:w="581"/>
        <w:gridCol w:w="1308"/>
      </w:tblGrid>
      <w:tr>
        <w:trPr>
          <w:trHeight w:val="45" w:hRule="atLeast"/>
        </w:trPr>
        <w:tc>
          <w:tcPr>
            <w:tcW w:w="0" w:type="auto"/>
            <w:gridSpan w:val="3"/>
            <w:vMerge w:val="restart"/>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i w:val="false"/>
                <w:color w:val="000000"/>
                <w:sz w:val="16"/>
              </w:rPr>
              <w:t>课程模块</w:t>
            </w:r>
          </w:p>
        </w:tc>
        <w:tc>
          <w:tcPr>
            <w:tcW w:w="870" w:type="dxa"/>
            <w:vMerge w:val="restart"/>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i w:val="false"/>
                <w:color w:val="000000"/>
                <w:sz w:val="16"/>
              </w:rPr>
              <w:t>课程代码</w:t>
            </w:r>
          </w:p>
        </w:tc>
        <w:tc>
          <w:tcPr>
            <w:tcW w:w="1741" w:type="dxa"/>
            <w:vMerge w:val="restart"/>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i w:val="false"/>
                <w:color w:val="000000"/>
                <w:sz w:val="16"/>
              </w:rPr>
              <w:t>课程名称</w:t>
            </w:r>
          </w:p>
        </w:tc>
        <w:tc>
          <w:tcPr>
            <w:tcW w:w="435" w:type="dxa"/>
            <w:vMerge w:val="restart"/>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i w:val="false"/>
                <w:color w:val="000000"/>
                <w:sz w:val="16"/>
              </w:rPr>
              <w:t>学分</w:t>
            </w:r>
          </w:p>
        </w:tc>
        <w:tc>
          <w:tcPr>
            <w:tcW w:w="435" w:type="dxa"/>
            <w:vMerge w:val="restart"/>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i w:val="false"/>
                <w:color w:val="000000"/>
                <w:sz w:val="16"/>
              </w:rPr>
              <w:t>总学时</w:t>
            </w:r>
          </w:p>
        </w:tc>
        <w:tc>
          <w:tcPr>
            <w:tcW w:w="580" w:type="dxa"/>
            <w:vMerge w:val="restart"/>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i w:val="false"/>
                <w:color w:val="000000"/>
                <w:sz w:val="16"/>
              </w:rPr>
              <w:t>理论学时</w:t>
            </w:r>
          </w:p>
        </w:tc>
        <w:tc>
          <w:tcPr>
            <w:tcW w:w="580" w:type="dxa"/>
            <w:vMerge w:val="restart"/>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i w:val="false"/>
                <w:color w:val="000000"/>
                <w:sz w:val="16"/>
              </w:rPr>
              <w:t>实验学时</w:t>
            </w:r>
          </w:p>
        </w:tc>
        <w:tc>
          <w:tcPr>
            <w:tcW w:w="0" w:type="auto"/>
            <w:gridSpan w:val="2"/>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i w:val="false"/>
                <w:color w:val="000000"/>
                <w:sz w:val="16"/>
              </w:rPr>
              <w:t>实践学时</w:t>
            </w:r>
          </w:p>
        </w:tc>
        <w:tc>
          <w:tcPr>
            <w:tcW w:w="580" w:type="dxa"/>
            <w:vMerge w:val="restart"/>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i w:val="false"/>
                <w:color w:val="000000"/>
                <w:sz w:val="16"/>
              </w:rPr>
              <w:t>习题学时</w:t>
            </w:r>
          </w:p>
        </w:tc>
        <w:tc>
          <w:tcPr>
            <w:tcW w:w="580" w:type="dxa"/>
            <w:vMerge w:val="restart"/>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i w:val="false"/>
                <w:color w:val="000000"/>
                <w:sz w:val="16"/>
              </w:rPr>
              <w:t>上机学时</w:t>
            </w:r>
          </w:p>
        </w:tc>
        <w:tc>
          <w:tcPr>
            <w:tcW w:w="580" w:type="dxa"/>
            <w:vMerge w:val="restart"/>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i w:val="false"/>
                <w:color w:val="000000"/>
                <w:sz w:val="16"/>
              </w:rPr>
              <w:t>设计学时</w:t>
            </w:r>
          </w:p>
        </w:tc>
        <w:tc>
          <w:tcPr>
            <w:tcW w:w="580" w:type="dxa"/>
            <w:vMerge w:val="restart"/>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i w:val="false"/>
                <w:color w:val="000000"/>
                <w:sz w:val="16"/>
              </w:rPr>
              <w:t>课外学时</w:t>
            </w:r>
          </w:p>
        </w:tc>
        <w:tc>
          <w:tcPr>
            <w:tcW w:w="871" w:type="dxa"/>
            <w:vMerge w:val="restart"/>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i w:val="false"/>
                <w:color w:val="000000"/>
                <w:sz w:val="16"/>
              </w:rPr>
              <w:t>开课学期</w:t>
            </w:r>
          </w:p>
        </w:tc>
        <w:tc>
          <w:tcPr>
            <w:tcW w:w="581" w:type="dxa"/>
            <w:vMerge w:val="restart"/>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i w:val="false"/>
                <w:color w:val="000000"/>
                <w:sz w:val="16"/>
              </w:rPr>
              <w:t>是否必修</w:t>
            </w:r>
          </w:p>
        </w:tc>
        <w:tc>
          <w:tcPr>
            <w:tcW w:w="581" w:type="dxa"/>
            <w:vMerge w:val="restart"/>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i w:val="false"/>
                <w:color w:val="000000"/>
                <w:sz w:val="16"/>
              </w:rPr>
              <w:t>考核方式</w:t>
            </w:r>
          </w:p>
        </w:tc>
        <w:tc>
          <w:tcPr>
            <w:tcW w:w="1308" w:type="dxa"/>
            <w:vMerge w:val="restart"/>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i w:val="false"/>
                <w:color w:val="000000"/>
                <w:sz w:val="16"/>
              </w:rPr>
              <w:t>开课部门</w:t>
            </w:r>
          </w:p>
        </w:tc>
      </w:tr>
      <w:tr>
        <w:trPr>
          <w:trHeight w:val="45" w:hRule="atLeast"/>
        </w:trPr>
        <w:tc>
          <w:tcPr>
            <w:tcW w:w="0" w:type="auto"/>
            <w:gridSpan w:val="3"/>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i w:val="false"/>
                <w:color w:val="000000"/>
                <w:sz w:val="16"/>
              </w:rPr>
              <w:t>集中</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i w:val="false"/>
                <w:color w:val="000000"/>
                <w:sz w:val="16"/>
              </w:rPr>
              <w:t>分散</w:t>
            </w:r>
          </w:p>
        </w:tc>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right w:val="single" w:color="000000" w:sz="8"/>
            </w:tcBorders>
          </w:tcPr>
          <w:p/>
        </w:tc>
      </w:tr>
      <w:tr>
        <w:trPr>
          <w:trHeight w:val="45" w:hRule="atLeast"/>
        </w:trPr>
        <w:tc>
          <w:tcPr>
            <w:tcW w:w="724" w:type="dxa"/>
            <w:vMerge w:val="restart"/>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通识教育课程</w:t>
            </w:r>
          </w:p>
        </w:tc>
        <w:tc>
          <w:tcPr>
            <w:tcW w:w="724" w:type="dxa"/>
            <w:vMerge w:val="restart"/>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通识教育课程（必修课）</w:t>
            </w:r>
          </w:p>
        </w:tc>
        <w:tc>
          <w:tcPr>
            <w:tcW w:w="724" w:type="dxa"/>
            <w:vMerge w:val="restart"/>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家国情怀与价值理想课程</w:t>
            </w: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1701001</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体育与健康Ⅰ</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是</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考查</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体育学院</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1701002</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体育与健康Ⅱ</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是</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考查</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体育学院</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1701003</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体育与健康Ⅲ</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4</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28</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0</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是</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考查</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体育学院</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1701004</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体育与健康Ⅳ</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4</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是</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考查</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体育学院</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1801002</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中国近现代史纲要</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48</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45</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0</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0</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是</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考试</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马克思主义学院</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1801005</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形势与政策Ⅰ</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16</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0</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0</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16</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是</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考查</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马克思主义学院</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1801006</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形势与政策Ⅱ</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16</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0</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0</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16</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是</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考查</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马克思主义学院</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1801007</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思想道德与法治</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48</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45</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0</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0</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是</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考试</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马克思主义学院</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1801008</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马克思主义基本原理</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48</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45</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0</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0</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是</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考试</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马克思主义学院</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1801013</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毛泽东思想和中国特色社会主义理论体系概论</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48</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42</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0</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0</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6</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是</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考试</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马克思主义学院</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1801014</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习近平新时代中国特色社会主义思想</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48</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42</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0</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0</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6</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4</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是</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考试</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马克思主义学院</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1801015</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四史教育与理论创新</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16</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16</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0</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0</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5</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是</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考查</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马克思主义学院</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2901002</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军事理论</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36</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36</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是</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考查</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武装部、保卫部（处）</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2901003</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国家安全教育</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16</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16</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是</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考查</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武装部、保卫部（处）</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2901004</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军事技能</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112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112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是</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考查</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武装部、保卫部（处）</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3101001</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大学生心理健康教育</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是</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考查</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学生工作部（处）</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0" w:type="auto"/>
            <w:gridSpan w:val="16"/>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i w:val="false"/>
                <w:color w:val="000000"/>
                <w:sz w:val="15"/>
              </w:rPr>
              <w:t>要求学分: 29</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724" w:type="dxa"/>
            <w:vMerge w:val="restart"/>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国际视野与文明对话课程</w:t>
            </w: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2501016</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大学外语限定必修</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24</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8</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是</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考试</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公共外语学院</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2501017</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大学外语Ⅰ</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24</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8</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是</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考试</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公共外语学院</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2501025</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大学外语Ⅱ</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24</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8</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是</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考试</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公共外语学院</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2501026</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大学外语Ⅲ</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24</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8</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是</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考试</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公共外语学院</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2501027</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大学外语Ⅳ</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24</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8</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4</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是</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考试</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公共外语学院</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0" w:type="auto"/>
            <w:gridSpan w:val="16"/>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i w:val="false"/>
                <w:color w:val="000000"/>
                <w:sz w:val="15"/>
              </w:rPr>
              <w:t>要求学分: 10</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724" w:type="dxa"/>
            <w:vMerge w:val="restart"/>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中华传承与哲社素养课程</w:t>
            </w: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0201001</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大学语文</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16</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16</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是</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考试</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文学院</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0" w:type="auto"/>
            <w:gridSpan w:val="16"/>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i w:val="false"/>
                <w:color w:val="000000"/>
                <w:sz w:val="15"/>
              </w:rPr>
              <w:t>要求学分: 1</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724" w:type="dxa"/>
            <w:vMerge w:val="restart"/>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数理基础与科学素养课程</w:t>
            </w: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3301002</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信息检索与利用</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16</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4</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12</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0</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4</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是</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考查</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图书馆</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3501002</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大学计算机基础（文）</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48</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16</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是</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考试</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教育信息技术中心</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0" w:type="auto"/>
            <w:gridSpan w:val="16"/>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i w:val="false"/>
                <w:color w:val="000000"/>
                <w:sz w:val="15"/>
              </w:rPr>
              <w:t>要求学分: 3</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724" w:type="dxa"/>
            <w:vMerge w:val="restart"/>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社会发展与公民素质课程</w:t>
            </w: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3601001</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职业生涯规划与就业指导Ⅰ</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0.5</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8</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8</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是</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考查</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招生就业处</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3601002</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职业生涯规划与就业指导Ⅱ</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0.5</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8</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8</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5</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是</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考查</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招生就业处</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3601003</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大学生创新创业</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16</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16</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是</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考查</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创新创业中心</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0" w:type="auto"/>
            <w:gridSpan w:val="16"/>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i w:val="false"/>
                <w:color w:val="000000"/>
                <w:sz w:val="15"/>
              </w:rPr>
              <w:t>要求学分: 2</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724"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艺术鉴赏与审美体验课程</w:t>
            </w:r>
          </w:p>
        </w:tc>
        <w:tc>
          <w:tcPr>
            <w:tcW w:w="0" w:type="auto"/>
            <w:gridSpan w:val="16"/>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i w:val="false"/>
                <w:color w:val="000000"/>
                <w:sz w:val="15"/>
              </w:rPr>
              <w:t>要求学分: 2</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0" w:type="auto"/>
            <w:gridSpan w:val="17"/>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i w:val="false"/>
                <w:color w:val="000000"/>
                <w:sz w:val="15"/>
              </w:rPr>
              <w:t>要求学分: 47,     要求完成子模块数: 6</w:t>
            </w:r>
          </w:p>
        </w:tc>
      </w:tr>
      <w:tr>
        <w:trPr>
          <w:trHeight w:val="45" w:hRule="atLeast"/>
        </w:trPr>
        <w:tc>
          <w:tcPr>
            <w:tcW w:w="0" w:type="auto"/>
            <w:vMerge/>
            <w:tcBorders>
              <w:top w:val="nil"/>
              <w:left w:val="single" w:color="000000" w:sz="8"/>
            </w:tcBorders>
          </w:tcPr>
          <w:p/>
        </w:tc>
        <w:tc>
          <w:tcPr>
            <w:tcW w:w="724" w:type="dxa"/>
            <w:vMerge w:val="restart"/>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通识教育课程（选修课）</w:t>
            </w:r>
          </w:p>
        </w:tc>
        <w:tc>
          <w:tcPr>
            <w:tcW w:w="724"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家国情怀与价值理想课程</w:t>
            </w:r>
          </w:p>
        </w:tc>
        <w:tc>
          <w:tcPr>
            <w:tcW w:w="0" w:type="auto"/>
            <w:gridSpan w:val="16"/>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i w:val="false"/>
                <w:color w:val="000000"/>
                <w:sz w:val="15"/>
              </w:rPr>
              <w:t>要求学分: 无</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724"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国际视野与文明对话课程</w:t>
            </w:r>
          </w:p>
        </w:tc>
        <w:tc>
          <w:tcPr>
            <w:tcW w:w="0" w:type="auto"/>
            <w:gridSpan w:val="16"/>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i w:val="false"/>
                <w:color w:val="000000"/>
                <w:sz w:val="15"/>
              </w:rPr>
              <w:t>要求学分: 无</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724"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中华传承与哲社素养课程</w:t>
            </w:r>
          </w:p>
        </w:tc>
        <w:tc>
          <w:tcPr>
            <w:tcW w:w="0" w:type="auto"/>
            <w:gridSpan w:val="16"/>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i w:val="false"/>
                <w:color w:val="000000"/>
                <w:sz w:val="15"/>
              </w:rPr>
              <w:t>要求学分: 2</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724"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数理基础与科学素养课程</w:t>
            </w:r>
          </w:p>
        </w:tc>
        <w:tc>
          <w:tcPr>
            <w:tcW w:w="0" w:type="auto"/>
            <w:gridSpan w:val="16"/>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i w:val="false"/>
                <w:color w:val="000000"/>
                <w:sz w:val="15"/>
              </w:rPr>
              <w:t>要求学分: 2</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724"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艺术鉴赏与审美体验课程(选修)</w:t>
            </w:r>
          </w:p>
        </w:tc>
        <w:tc>
          <w:tcPr>
            <w:tcW w:w="0" w:type="auto"/>
            <w:gridSpan w:val="16"/>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i w:val="false"/>
                <w:color w:val="000000"/>
                <w:sz w:val="15"/>
              </w:rPr>
              <w:t>要求学分: 无</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724"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社会发展与公民素质课程</w:t>
            </w:r>
          </w:p>
        </w:tc>
        <w:tc>
          <w:tcPr>
            <w:tcW w:w="0" w:type="auto"/>
            <w:gridSpan w:val="16"/>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i w:val="false"/>
                <w:color w:val="000000"/>
                <w:sz w:val="15"/>
              </w:rPr>
              <w:t>要求学分: 无</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724"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教育基础与师范特色课程</w:t>
            </w:r>
          </w:p>
        </w:tc>
        <w:tc>
          <w:tcPr>
            <w:tcW w:w="0" w:type="auto"/>
            <w:gridSpan w:val="16"/>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i w:val="false"/>
                <w:color w:val="000000"/>
                <w:sz w:val="15"/>
              </w:rPr>
              <w:t>要求学分: 无</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0" w:type="auto"/>
            <w:gridSpan w:val="17"/>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i w:val="false"/>
                <w:color w:val="000000"/>
                <w:sz w:val="15"/>
              </w:rPr>
              <w:t>要求学分: 8,     要求完成子模块数: 2</w:t>
            </w:r>
          </w:p>
        </w:tc>
      </w:tr>
      <w:tr>
        <w:trPr>
          <w:trHeight w:val="45" w:hRule="atLeast"/>
        </w:trPr>
        <w:tc>
          <w:tcPr>
            <w:tcW w:w="0" w:type="auto"/>
            <w:vMerge/>
            <w:tcBorders>
              <w:top w:val="nil"/>
              <w:left w:val="single" w:color="000000" w:sz="8"/>
            </w:tcBorders>
          </w:tcPr>
          <w:p/>
        </w:tc>
        <w:tc>
          <w:tcPr>
            <w:tcW w:w="0" w:type="auto"/>
            <w:gridSpan w:val="18"/>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i w:val="false"/>
                <w:color w:val="000000"/>
                <w:sz w:val="15"/>
              </w:rPr>
              <w:t>要求学分: 55,     要求完成子模块数: 2</w:t>
            </w:r>
          </w:p>
        </w:tc>
      </w:tr>
      <w:tr>
        <w:trPr>
          <w:trHeight w:val="45" w:hRule="atLeast"/>
        </w:trPr>
        <w:tc>
          <w:tcPr>
            <w:tcW w:w="724" w:type="dxa"/>
            <w:vMerge w:val="restart"/>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专业教育课程</w:t>
            </w:r>
          </w:p>
        </w:tc>
        <w:tc>
          <w:tcPr>
            <w:tcW w:w="0" w:type="auto"/>
            <w:gridSpan w:val="2"/>
            <w:vMerge w:val="restart"/>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专业基础课程</w:t>
            </w: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2003003</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播音主持艺术导论</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48</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48</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是</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考试</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新闻传播学院</w:t>
            </w:r>
          </w:p>
        </w:tc>
      </w:tr>
      <w:tr>
        <w:trPr>
          <w:trHeight w:val="45" w:hRule="atLeast"/>
        </w:trPr>
        <w:tc>
          <w:tcPr>
            <w:tcW w:w="0" w:type="auto"/>
            <w:vMerge/>
            <w:tcBorders>
              <w:top w:val="nil"/>
              <w:left w:val="single" w:color="000000" w:sz="8"/>
            </w:tcBorders>
          </w:tcPr>
          <w:p/>
        </w:tc>
        <w:tc>
          <w:tcPr>
            <w:tcW w:w="0" w:type="auto"/>
            <w:gridSpan w:val="2"/>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2003004</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传播学概论</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48</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48</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是</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考试</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新闻传播学院</w:t>
            </w:r>
          </w:p>
        </w:tc>
      </w:tr>
      <w:tr>
        <w:trPr>
          <w:trHeight w:val="45" w:hRule="atLeast"/>
        </w:trPr>
        <w:tc>
          <w:tcPr>
            <w:tcW w:w="0" w:type="auto"/>
            <w:vMerge/>
            <w:tcBorders>
              <w:top w:val="nil"/>
              <w:left w:val="single" w:color="000000" w:sz="8"/>
            </w:tcBorders>
          </w:tcPr>
          <w:p/>
        </w:tc>
        <w:tc>
          <w:tcPr>
            <w:tcW w:w="0" w:type="auto"/>
            <w:gridSpan w:val="2"/>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2003011</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基础写作</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48</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48</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是</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考试</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新闻传播学院</w:t>
            </w:r>
          </w:p>
        </w:tc>
      </w:tr>
      <w:tr>
        <w:trPr>
          <w:trHeight w:val="45" w:hRule="atLeast"/>
        </w:trPr>
        <w:tc>
          <w:tcPr>
            <w:tcW w:w="0" w:type="auto"/>
            <w:vMerge/>
            <w:tcBorders>
              <w:top w:val="nil"/>
              <w:left w:val="single" w:color="000000" w:sz="8"/>
            </w:tcBorders>
          </w:tcPr>
          <w:p/>
        </w:tc>
        <w:tc>
          <w:tcPr>
            <w:tcW w:w="0" w:type="auto"/>
            <w:gridSpan w:val="2"/>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2003137</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视听语言</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48</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48</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是</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考试</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新闻传播学院</w:t>
            </w:r>
          </w:p>
        </w:tc>
      </w:tr>
      <w:tr>
        <w:trPr>
          <w:trHeight w:val="45" w:hRule="atLeast"/>
        </w:trPr>
        <w:tc>
          <w:tcPr>
            <w:tcW w:w="0" w:type="auto"/>
            <w:vMerge/>
            <w:tcBorders>
              <w:top w:val="nil"/>
              <w:left w:val="single" w:color="000000" w:sz="8"/>
            </w:tcBorders>
          </w:tcPr>
          <w:p/>
        </w:tc>
        <w:tc>
          <w:tcPr>
            <w:tcW w:w="0" w:type="auto"/>
            <w:gridSpan w:val="2"/>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2003173</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艺术学概论</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是</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考试</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新闻传播学院</w:t>
            </w:r>
          </w:p>
        </w:tc>
      </w:tr>
      <w:tr>
        <w:trPr>
          <w:trHeight w:val="45" w:hRule="atLeast"/>
        </w:trPr>
        <w:tc>
          <w:tcPr>
            <w:tcW w:w="0" w:type="auto"/>
            <w:vMerge/>
            <w:tcBorders>
              <w:top w:val="nil"/>
              <w:left w:val="single" w:color="000000" w:sz="8"/>
            </w:tcBorders>
          </w:tcPr>
          <w:p/>
        </w:tc>
        <w:tc>
          <w:tcPr>
            <w:tcW w:w="0" w:type="auto"/>
            <w:gridSpan w:val="2"/>
            <w:vMerge/>
            <w:tcBorders>
              <w:top w:val="nil"/>
              <w:left w:val="single" w:color="000000" w:sz="8"/>
            </w:tcBorders>
          </w:tcPr>
          <w:p/>
        </w:tc>
        <w:tc>
          <w:tcPr>
            <w:tcW w:w="0" w:type="auto"/>
            <w:gridSpan w:val="16"/>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i w:val="false"/>
                <w:color w:val="000000"/>
                <w:sz w:val="15"/>
              </w:rPr>
              <w:t>要求学分: 14</w:t>
            </w:r>
          </w:p>
        </w:tc>
      </w:tr>
      <w:tr>
        <w:trPr>
          <w:trHeight w:val="45" w:hRule="atLeast"/>
        </w:trPr>
        <w:tc>
          <w:tcPr>
            <w:tcW w:w="0" w:type="auto"/>
            <w:vMerge/>
            <w:tcBorders>
              <w:top w:val="nil"/>
              <w:left w:val="single" w:color="000000" w:sz="8"/>
            </w:tcBorders>
          </w:tcPr>
          <w:p/>
        </w:tc>
        <w:tc>
          <w:tcPr>
            <w:tcW w:w="0" w:type="auto"/>
            <w:gridSpan w:val="2"/>
            <w:vMerge w:val="restart"/>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专业核心课程</w:t>
            </w: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2003001</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播音创作基础</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4</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80</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48</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0</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是</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考试</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新闻传播学院</w:t>
            </w:r>
          </w:p>
        </w:tc>
      </w:tr>
      <w:tr>
        <w:trPr>
          <w:trHeight w:val="45" w:hRule="atLeast"/>
        </w:trPr>
        <w:tc>
          <w:tcPr>
            <w:tcW w:w="0" w:type="auto"/>
            <w:vMerge/>
            <w:tcBorders>
              <w:top w:val="nil"/>
              <w:left w:val="single" w:color="000000" w:sz="8"/>
            </w:tcBorders>
          </w:tcPr>
          <w:p/>
        </w:tc>
        <w:tc>
          <w:tcPr>
            <w:tcW w:w="0" w:type="auto"/>
            <w:gridSpan w:val="2"/>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2003005</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电视播音主持</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4</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80</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48</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0</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5</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是</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考试</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新闻传播学院</w:t>
            </w:r>
          </w:p>
        </w:tc>
      </w:tr>
      <w:tr>
        <w:trPr>
          <w:trHeight w:val="45" w:hRule="atLeast"/>
        </w:trPr>
        <w:tc>
          <w:tcPr>
            <w:tcW w:w="0" w:type="auto"/>
            <w:vMerge/>
            <w:tcBorders>
              <w:top w:val="nil"/>
              <w:left w:val="single" w:color="000000" w:sz="8"/>
            </w:tcBorders>
          </w:tcPr>
          <w:p/>
        </w:tc>
        <w:tc>
          <w:tcPr>
            <w:tcW w:w="0" w:type="auto"/>
            <w:gridSpan w:val="2"/>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2003008</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广播播音主持</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4</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80</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48</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0</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4</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是</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考试</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新闻传播学院</w:t>
            </w:r>
          </w:p>
        </w:tc>
      </w:tr>
      <w:tr>
        <w:trPr>
          <w:trHeight w:val="45" w:hRule="atLeast"/>
        </w:trPr>
        <w:tc>
          <w:tcPr>
            <w:tcW w:w="0" w:type="auto"/>
            <w:vMerge/>
            <w:tcBorders>
              <w:top w:val="nil"/>
              <w:left w:val="single" w:color="000000" w:sz="8"/>
            </w:tcBorders>
          </w:tcPr>
          <w:p/>
        </w:tc>
        <w:tc>
          <w:tcPr>
            <w:tcW w:w="0" w:type="auto"/>
            <w:gridSpan w:val="2"/>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2003015</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普通话语音</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4</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80</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48</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0</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是</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考试</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新闻传播学院</w:t>
            </w:r>
          </w:p>
        </w:tc>
      </w:tr>
      <w:tr>
        <w:trPr>
          <w:trHeight w:val="45" w:hRule="atLeast"/>
        </w:trPr>
        <w:tc>
          <w:tcPr>
            <w:tcW w:w="0" w:type="auto"/>
            <w:vMerge/>
            <w:tcBorders>
              <w:top w:val="nil"/>
              <w:left w:val="single" w:color="000000" w:sz="8"/>
            </w:tcBorders>
          </w:tcPr>
          <w:p/>
        </w:tc>
        <w:tc>
          <w:tcPr>
            <w:tcW w:w="0" w:type="auto"/>
            <w:gridSpan w:val="2"/>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2003165</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播音发声学</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4</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80</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48</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是</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考试</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新闻传播学院</w:t>
            </w:r>
          </w:p>
        </w:tc>
      </w:tr>
      <w:tr>
        <w:trPr>
          <w:trHeight w:val="45" w:hRule="atLeast"/>
        </w:trPr>
        <w:tc>
          <w:tcPr>
            <w:tcW w:w="0" w:type="auto"/>
            <w:vMerge/>
            <w:tcBorders>
              <w:top w:val="nil"/>
              <w:left w:val="single" w:color="000000" w:sz="8"/>
            </w:tcBorders>
          </w:tcPr>
          <w:p/>
        </w:tc>
        <w:tc>
          <w:tcPr>
            <w:tcW w:w="0" w:type="auto"/>
            <w:gridSpan w:val="2"/>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2003174</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文艺作品演播</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4</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80</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48</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6</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是</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考试</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新闻传播学院</w:t>
            </w:r>
          </w:p>
        </w:tc>
      </w:tr>
      <w:tr>
        <w:trPr>
          <w:trHeight w:val="45" w:hRule="atLeast"/>
        </w:trPr>
        <w:tc>
          <w:tcPr>
            <w:tcW w:w="0" w:type="auto"/>
            <w:vMerge/>
            <w:tcBorders>
              <w:top w:val="nil"/>
              <w:left w:val="single" w:color="000000" w:sz="8"/>
            </w:tcBorders>
          </w:tcPr>
          <w:p/>
        </w:tc>
        <w:tc>
          <w:tcPr>
            <w:tcW w:w="0" w:type="auto"/>
            <w:gridSpan w:val="2"/>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2003180</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即兴思维与口语表达</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48</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48</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4</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是</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考试</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新闻传播学院</w:t>
            </w:r>
          </w:p>
        </w:tc>
      </w:tr>
      <w:tr>
        <w:trPr>
          <w:trHeight w:val="45" w:hRule="atLeast"/>
        </w:trPr>
        <w:tc>
          <w:tcPr>
            <w:tcW w:w="0" w:type="auto"/>
            <w:vMerge/>
            <w:tcBorders>
              <w:top w:val="nil"/>
              <w:left w:val="single" w:color="000000" w:sz="8"/>
            </w:tcBorders>
          </w:tcPr>
          <w:p/>
        </w:tc>
        <w:tc>
          <w:tcPr>
            <w:tcW w:w="0" w:type="auto"/>
            <w:gridSpan w:val="2"/>
            <w:vMerge/>
            <w:tcBorders>
              <w:top w:val="nil"/>
              <w:left w:val="single" w:color="000000" w:sz="8"/>
            </w:tcBorders>
          </w:tcPr>
          <w:p/>
        </w:tc>
        <w:tc>
          <w:tcPr>
            <w:tcW w:w="0" w:type="auto"/>
            <w:gridSpan w:val="16"/>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i w:val="false"/>
                <w:color w:val="000000"/>
                <w:sz w:val="15"/>
              </w:rPr>
              <w:t>要求学分: 27</w:t>
            </w:r>
          </w:p>
        </w:tc>
      </w:tr>
      <w:tr>
        <w:trPr>
          <w:trHeight w:val="45" w:hRule="atLeast"/>
        </w:trPr>
        <w:tc>
          <w:tcPr>
            <w:tcW w:w="0" w:type="auto"/>
            <w:vMerge/>
            <w:tcBorders>
              <w:top w:val="nil"/>
              <w:left w:val="single" w:color="000000" w:sz="8"/>
            </w:tcBorders>
          </w:tcPr>
          <w:p/>
        </w:tc>
        <w:tc>
          <w:tcPr>
            <w:tcW w:w="724" w:type="dxa"/>
            <w:vMerge w:val="restart"/>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专业发展课程</w:t>
            </w:r>
          </w:p>
        </w:tc>
        <w:tc>
          <w:tcPr>
            <w:tcW w:w="724" w:type="dxa"/>
            <w:vMerge w:val="restart"/>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专业发展课程（必修课）</w:t>
            </w: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2003025</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现代汉语</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48</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48</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是</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考试</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新闻传播学院</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2003027</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新媒体导论</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4</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是</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考试</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新闻传播学院</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2003032</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新闻采访学</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48</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48</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是</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考试</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新闻传播学院</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2003040</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形体塑造</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是</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考试</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新闻传播学院</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2003041</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形象造型与化妆</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是</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考试</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新闻传播学院</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2003156</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短视频拍摄与制作</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64</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4</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是</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考试</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新闻传播学院</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2003167</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公共关系学</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是</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考试</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新闻传播学院</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0" w:type="auto"/>
            <w:gridSpan w:val="16"/>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i w:val="false"/>
                <w:color w:val="000000"/>
                <w:sz w:val="15"/>
              </w:rPr>
              <w:t>要求学分: 17</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724" w:type="dxa"/>
            <w:vMerge w:val="restart"/>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专业发展课程（选修课）</w:t>
            </w: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2003046</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文学经典导读</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否</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考查</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新闻传播学院</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2003048</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表演基础</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6</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否</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考查</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新闻传播学院</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2003055</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公务员应试文体研究</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5</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否</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考查</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新闻传播学院</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2003058</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国际传播专题研究</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5</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否</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考查</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新闻传播学院</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2003060</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纪录片创作</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5</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否</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考查</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新闻传播学院</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2003067</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媒介批评</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5</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否</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考查</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新闻传播学院</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2003071</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欧美影视文化</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6</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否</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考查</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新闻传播学院</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2003074</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社会学概论</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5</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否</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考查</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新闻传播学院</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2003077</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深度报道研究</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5</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否</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考查</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新闻传播学院</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2003080</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数据库原理及应用</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6</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否</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考查</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新闻传播学院</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2003086</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文化人类学</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6</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否</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考查</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新闻传播学院</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2003091</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新媒体与文学</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6</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否</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考查</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新闻传播学院</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2003094</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新闻策划与新闻资源开发</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6</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否</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考查</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新闻传播学院</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2003099</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新闻修辞学</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5</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否</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考查</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新闻传播学院</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2003102</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虚拟演播室节目制作</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5</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否</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考查</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新闻传播学院</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2003103</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演讲学</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6</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否</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考查</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新闻传播学院</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2003107</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应用文写作</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6</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否</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考查</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新闻传播学院</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2003111</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影视叙事艺术研究</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5</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否</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考查</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新闻传播学院</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2003117</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新媒体直播</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5</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否</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考查</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新闻传播学院</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2003134</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HTML5网页前端设计</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5</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否</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考查</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新闻传播学院</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2003150</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影片分析</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6</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否</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考查</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新闻传播学院</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2003154</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平面设计基础</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5</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否</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考查</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新闻传播学院</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2003175</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声乐</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否</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考查</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新闻传播学院</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2003183</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出镜报道</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6</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否</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考查</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新闻传播学院</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2003184</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舞台主持艺术</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5</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否</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考查</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新闻传播学院</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2003185</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双语播音</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6</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否</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考查</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新闻传播学院</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0" w:type="auto"/>
            <w:gridSpan w:val="16"/>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i w:val="false"/>
                <w:color w:val="000000"/>
                <w:sz w:val="15"/>
              </w:rPr>
              <w:t>要求学分: 22</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0" w:type="auto"/>
            <w:gridSpan w:val="17"/>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i w:val="false"/>
                <w:color w:val="000000"/>
                <w:sz w:val="15"/>
              </w:rPr>
              <w:t>要求学分: 39,     要求完成子模块数: 2</w:t>
            </w:r>
          </w:p>
        </w:tc>
      </w:tr>
      <w:tr>
        <w:trPr>
          <w:trHeight w:val="45" w:hRule="atLeast"/>
        </w:trPr>
        <w:tc>
          <w:tcPr>
            <w:tcW w:w="0" w:type="auto"/>
            <w:vMerge/>
            <w:tcBorders>
              <w:top w:val="nil"/>
              <w:left w:val="single" w:color="000000" w:sz="8"/>
            </w:tcBorders>
          </w:tcPr>
          <w:p/>
        </w:tc>
        <w:tc>
          <w:tcPr>
            <w:tcW w:w="0" w:type="auto"/>
            <w:gridSpan w:val="18"/>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i w:val="false"/>
                <w:color w:val="000000"/>
                <w:sz w:val="15"/>
              </w:rPr>
              <w:t>要求学分: 80,     要求完成子模块数: 3</w:t>
            </w:r>
          </w:p>
        </w:tc>
      </w:tr>
      <w:tr>
        <w:trPr>
          <w:trHeight w:val="45" w:hRule="atLeast"/>
        </w:trPr>
        <w:tc>
          <w:tcPr>
            <w:tcW w:w="0" w:type="auto"/>
            <w:gridSpan w:val="3"/>
            <w:vMerge w:val="restart"/>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综合实践课程</w:t>
            </w: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2005002</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毕业论文</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5</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160</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8</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是</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考查</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新闻传播学院</w:t>
            </w:r>
          </w:p>
        </w:tc>
      </w:tr>
      <w:tr>
        <w:trPr>
          <w:trHeight w:val="45" w:hRule="atLeast"/>
        </w:trPr>
        <w:tc>
          <w:tcPr>
            <w:tcW w:w="0" w:type="auto"/>
            <w:gridSpan w:val="3"/>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2005003</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专业实践</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8</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256</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256</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7</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是</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考查</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新闻传播学院</w:t>
            </w:r>
          </w:p>
        </w:tc>
      </w:tr>
      <w:tr>
        <w:trPr>
          <w:trHeight w:val="45" w:hRule="atLeast"/>
        </w:trPr>
        <w:tc>
          <w:tcPr>
            <w:tcW w:w="0" w:type="auto"/>
            <w:gridSpan w:val="3"/>
            <w:vMerge/>
            <w:tcBorders>
              <w:top w:val="nil"/>
              <w:left w:val="single" w:color="000000" w:sz="8"/>
            </w:tcBorders>
          </w:tcPr>
          <w:p/>
        </w:tc>
        <w:tc>
          <w:tcPr>
            <w:tcW w:w="0" w:type="auto"/>
            <w:gridSpan w:val="16"/>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i w:val="false"/>
                <w:color w:val="000000"/>
                <w:sz w:val="15"/>
              </w:rPr>
              <w:t>要求学分: 13</w:t>
            </w:r>
          </w:p>
        </w:tc>
      </w:tr>
      <w:tr>
        <w:trPr>
          <w:trHeight w:val="45" w:hRule="atLeast"/>
        </w:trPr>
        <w:tc>
          <w:tcPr>
            <w:tcW w:w="0" w:type="auto"/>
            <w:gridSpan w:val="19"/>
            <w:tcBorders>
              <w:top w:val="single" w:color="000000" w:sz="8"/>
              <w:left w:val="single" w:color="000000" w:sz="8"/>
              <w:bottom w:val="single" w:color="000000" w:sz="8"/>
              <w:righ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i w:val="false"/>
                <w:color w:val="000000"/>
                <w:sz w:val="15"/>
              </w:rPr>
              <w:t>要求学分: 148</w:t>
            </w:r>
          </w:p>
        </w:tc>
      </w:tr>
    </w:tbl>
    <w:p>
      <w:pPr>
        <w:spacing w:after="0"/>
        <w:ind w:left="0"/>
        <w:jc w:val="left"/>
      </w:pPr>
      <w:r>
        <w:rPr>
          <w:rFonts w:ascii="Times New Roman" w:hAnsi="Times New Roman"/>
          <w:b w:val="false"/>
          <w:i w:val="false"/>
          <w:color w:val="000000"/>
          <w:sz w:val="22"/>
        </w:rPr>
        <w:t>备注：★表示核心课程,▲表示主要实践环节</w:t>
      </w:r>
    </w:p>
    <w:p>
      <w:pPr>
        <w:spacing w:after="0"/>
        <w:ind w:left="0"/>
        <w:jc w:val="left"/>
      </w:pPr>
      <w:r>
        <w:rPr>
          <w:rFonts w:ascii="Times New Roman" w:hAnsi="Times New Roman"/>
          <w:b/>
          <w:i w:val="false"/>
          <w:color w:val="000000"/>
        </w:rPr>
        <w:t>八 说明</w:t>
      </w:r>
      <w:bookmarkStart w:id="7" w:name="8"/>
      <w:bookmarkEnd w:id="7"/>
    </w:p>
    <w:p>
      <w:pPr>
        <w:spacing w:after="0"/>
        <w:ind w:left="0"/>
        <w:jc w:val="left"/>
      </w:pPr>
      <w:r>
        <w:rPr>
          <w:rFonts w:ascii="Times New Roman" w:hAnsi="Times New Roman"/>
          <w:b w:val="false"/>
          <w:i w:val="false"/>
          <w:color w:val="000000"/>
          <w:sz w:val="22"/>
        </w:rPr>
        <w:t>1、实施对象：本方案自2023年秋季学期实施。2023级新生全面实施本方案。2020-2022级学生按照原方案执行。</w:t>
      </w:r>
      <w:r>
        <w:br/>
      </w:r>
      <w:r>
        <w:rPr>
          <w:rFonts w:ascii="Times New Roman" w:hAnsi="Times New Roman"/>
          <w:b w:val="false"/>
          <w:i w:val="false"/>
          <w:color w:val="000000"/>
          <w:sz w:val="22"/>
        </w:rPr>
        <w:t>2、本次修订培养方案的负责人为新闻传播学院院长及分管教学副院长；参加人员为播音与主持艺术教研室全体专业教师、行业和用人单位代表、同行专家、毕业生代表、高年级学生代表等。</w:t>
      </w:r>
      <w:r>
        <w:br/>
      </w:r>
      <w:r>
        <w:rPr>
          <w:rFonts w:ascii="Times New Roman" w:hAnsi="Times New Roman"/>
          <w:b w:val="false"/>
          <w:i w:val="false"/>
          <w:color w:val="000000"/>
          <w:sz w:val="22"/>
        </w:rPr>
        <w:t>3、综合实践教学模块修读说明</w:t>
      </w:r>
    </w:p>
    <w:p>
      <w:pPr>
        <w:spacing w:after="0"/>
        <w:ind w:left="0"/>
        <w:jc w:val="left"/>
      </w:pPr>
      <w:r>
        <w:rPr>
          <w:rFonts w:ascii="Times New Roman" w:hAnsi="Times New Roman"/>
          <w:b w:val="false"/>
          <w:i w:val="false"/>
          <w:color w:val="000000"/>
          <w:sz w:val="22"/>
        </w:rPr>
        <w:t>（1）课程实训：普通话语言，播音发声学，广播播音主持，电视播音主持，记性思维与口语表达，形象造型与化妆，形体塑造等课程的实训可以集中在演播室，演播厅或外出采风完成。</w:t>
      </w:r>
      <w:r>
        <w:br/>
      </w:r>
      <w:r>
        <w:rPr>
          <w:rFonts w:ascii="Times New Roman" w:hAnsi="Times New Roman"/>
          <w:b w:val="false"/>
          <w:i w:val="false"/>
          <w:color w:val="000000"/>
          <w:sz w:val="22"/>
        </w:rPr>
        <w:t>（2）专业实践：专业见习安排在第六学期进行，时间约一周，一般在校外进行。训练学生在全陌生环境下的采访及沟通、合作能力，要求以组为单位成交完成作品学生完成 1篇见习调查报告或作品策划案。专业实习不少于18周时间，采用集中与散点实习相结合方式，一般安排在第七学期，实习结束后，根据实习作品和实习单位鉴定，以及带教老师评语，由学院组织考核。</w:t>
      </w:r>
    </w:p>
    <w:p>
      <w:pPr>
        <w:spacing w:after="0"/>
        <w:ind w:left="0"/>
        <w:jc w:val="left"/>
      </w:pPr>
      <w:r>
        <w:rPr>
          <w:rFonts w:ascii="Times New Roman" w:hAnsi="Times New Roman"/>
          <w:b w:val="false"/>
          <w:i w:val="false"/>
          <w:color w:val="000000"/>
          <w:sz w:val="22"/>
        </w:rPr>
        <w:t>（3）专业练声贯穿整个学习阶段。</w:t>
      </w:r>
    </w:p>
    <w:p>
      <w:pPr>
        <w:spacing w:after="0"/>
        <w:ind w:left="0"/>
        <w:jc w:val="left"/>
      </w:pPr>
      <w:r>
        <w:rPr>
          <w:rFonts w:ascii="Times New Roman" w:hAnsi="Times New Roman"/>
          <w:b w:val="false"/>
          <w:i w:val="false"/>
          <w:color w:val="000000"/>
          <w:sz w:val="22"/>
        </w:rPr>
        <w:t>（4）毕业论文（设计）：第七学期和第八学期，安排毕业论文（设计）。要求学生综合所学知识，解决实际问题，以达到培养其科学研究能力和创新意识的目的。鼓励学生采用新闻作品创作、创新创业训练、科研训练等多种形式完成毕业设计。毕业论文（设计）格式严格按照《西华师范大学本科毕业论文撰写规范与要求》以及《西华师范大学本科毕业设计撰写规范与要求》执行。</w:t>
      </w:r>
    </w:p>
    <w:p>
      <w:pPr>
        <w:spacing w:after="0"/>
        <w:ind w:left="0"/>
        <w:jc w:val="left"/>
      </w:pPr>
      <w:r>
        <w:rPr>
          <w:rFonts w:ascii="Times New Roman" w:hAnsi="Times New Roman"/>
          <w:b w:val="false"/>
          <w:i w:val="false"/>
          <w:color w:val="000000"/>
          <w:sz w:val="22"/>
        </w:rPr>
        <w:t>4、通识教育课程中选修课程修读要求：</w:t>
      </w:r>
    </w:p>
    <w:p>
      <w:pPr>
        <w:spacing w:after="0"/>
        <w:ind w:left="0"/>
        <w:jc w:val="left"/>
      </w:pPr>
      <w:r>
        <w:rPr>
          <w:rFonts w:ascii="Times New Roman" w:hAnsi="Times New Roman"/>
          <w:b w:val="false"/>
          <w:i w:val="false"/>
          <w:color w:val="000000"/>
          <w:sz w:val="22"/>
        </w:rPr>
        <w:t>通识教育课程中的选修课程是面向在校学生开设的选择性修读的课程。学生在七个课程模块中总共修读不低于8个学分方可毕业。其中，部分课程模块修读要求如下:[1]理工类、艺术类学生在“中华传承与哲社素养课程”模块中选修课程修读不少于2学分；[2]文科类、艺术类学生在“数理基础与科学素养课程”模块中选修课程修读不少于2学分；[3]艺术类学生可免修“艺术鉴赏与审美体验课程”选修模块；[4]师范类专业学生可免修“教育基础与师范特色课程”模块；鼓励非师范专业学生选修本模块课程。</w:t>
      </w:r>
    </w:p>
    <w:p>
      <w:pPr>
        <w:spacing w:after="0"/>
        <w:ind w:left="0"/>
        <w:jc w:val="left"/>
      </w:pPr>
      <w:r>
        <w:rPr>
          <w:rFonts w:ascii="Times New Roman" w:hAnsi="Times New Roman"/>
          <w:b/>
          <w:i w:val="false"/>
          <w:color w:val="000000"/>
        </w:rPr>
        <w:t>九 附表</w:t>
      </w:r>
      <w:bookmarkStart w:id="8" w:name="9"/>
      <w:bookmarkEnd w:id="8"/>
    </w:p>
    <w:p>
      <w:pPr>
        <w:spacing w:after="0"/>
        <w:ind w:left="0"/>
        <w:jc w:val="left"/>
      </w:pPr>
    </w:p>
    <w:bookmarkStart w:id="9" w:name="remark"/>
    <w:p>
      <w:pPr>
        <w:spacing w:after="0"/>
        <w:ind w:left="0"/>
        <w:jc w:val="left"/>
      </w:pPr>
    </w:p>
    <w:bookmarkEnd w:id="9"/>
    <w:sectPr>
      <w:pgSz w:w="16839" w:h="11907" w:orient="landscape" w:code="9"/>
      <w:pgMar w:top="1440" w:right="1440" w:bottom="1440" w:left="1440"/>
    </w:sectPr>
  </w:body>
</w:document>
</file>

<file path=word/numbering.xml><?xml version="1.0" encoding="utf-8"?>
<w:numbering xmlns:ns30="http://schemas.openxmlformats.org/schemaLibrary/2006/main" xmlns:a="http://schemas.openxmlformats.org/drawingml/2006/main" xmlns:r="http://schemas.openxmlformats.org/officeDocument/2006/relationships" xmlns:mc="http://schemas.openxmlformats.org/markup-compatibility/2006" xmlns:w="http://schemas.openxmlformats.org/wordprocessingml/2006/main" xmlns:wp="http://schemas.openxmlformats.org/drawingml/2006/wordprocessingDrawing" xmlns:w15="http://schemas.microsoft.com/office/word/2012/wordml" xmlns:wp14="http://schemas.microsoft.com/office/word/2010/wordprocessingDrawing" xmlns:w14="http://schemas.microsoft.com/office/word/2010/wordml" xmlns:m="http://schemas.openxmlformats.org/officeDocument/2006/math"/>
</file>

<file path=word/settings.xml><?xml version="1.0" encoding="utf-8"?>
<w:settings xmlns:ns30="http://schemas.openxmlformats.org/schemaLibrary/2006/main" xmlns:a="http://schemas.openxmlformats.org/drawingml/2006/main" xmlns:r="http://schemas.openxmlformats.org/officeDocument/2006/relationships" xmlns:mc="http://schemas.openxmlformats.org/markup-compatibility/2006" xmlns:w="http://schemas.openxmlformats.org/wordprocessingml/2006/main" xmlns:wp="http://schemas.openxmlformats.org/drawingml/2006/wordprocessingDrawing" xmlns:w15="http://schemas.microsoft.com/office/word/2012/wordml" xmlns:wp14="http://schemas.microsoft.com/office/word/2010/wordprocessingDrawing" xmlns:w14="http://schemas.microsoft.com/office/word/2010/wordml" xmlns:m="http://schemas.openxmlformats.org/officeDocument/2006/math" mc:Ignorable="">
  <w:compat>
    <w:compatSetting w:name="overrideTableStyleFontSizeAndJustification" w:uri="http://schemas.microsoft.com/office/word" w:val="1"/>
  </w:compat>
</w:settings>
</file>

<file path=word/styles.xml><?xml version="1.0" encoding="utf-8"?>
<w:styles xmlns:ns30="http://schemas.openxmlformats.org/schemaLibrary/2006/main" xmlns:a="http://schemas.openxmlformats.org/drawingml/2006/main" xmlns:r="http://schemas.openxmlformats.org/officeDocument/2006/relationships" xmlns:mc="http://schemas.openxmlformats.org/markup-compatibility/2006" xmlns:w="http://schemas.openxmlformats.org/wordprocessingml/2006/main" xmlns:wp="http://schemas.openxmlformats.org/drawingml/2006/wordprocessingDrawing" xmlns:w15="http://schemas.microsoft.com/office/word/2012/wordml" xmlns:wp14="http://schemas.microsoft.com/office/word/2010/wordprocessingDrawing" xmlns:w14="http://schemas.microsoft.com/office/word/2010/wordml" xmlns:m="http://schemas.openxmlformats.org/officeDocument/2006/math">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qFormat/>
    <w:rsid w:val="004A3277"/>
  </w:style>
  <w:style w:type="paragraph" w:styleId="Heading1">
    <w:name w:val="heading 1"/>
    <w:basedOn w:val="Normal"/>
    <w:next w:val="Normal"/>
    <w:link w:val="Heading1Char"/>
    <w:uiPriority w:val="9"/>
    <w:qFormat/>
    <w:rsid w:val="00841CD9"/>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hAnsiTheme="majorHAnsi" w:eastAsiaTheme="majorEastAsia" w:cstheme="majorBidi"/>
      <w:b/>
      <w:bCs/>
      <w:i/>
      <w:iCs/>
      <w:color w:val="4F81BD" w:themeColor="accent1"/>
    </w:rPr>
  </w:style>
  <w:style w:type="character" w:styleId="DefaultParagraphFont" w:default="true">
    <w:name w:val="Default Paragraph Font"/>
    <w:uiPriority w:val="1"/>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styleId="HeaderChar" w:customStyle="true">
    <w:name w:val="Header Char"/>
    <w:basedOn w:val="DefaultParagraphFont"/>
    <w:link w:val="Header"/>
    <w:uiPriority w:val="99"/>
    <w:rsid w:val="00841CD9"/>
  </w:style>
  <w:style w:type="character" w:styleId="Heading1Char" w:customStyle="true">
    <w:name w:val="Heading 1 Char"/>
    <w:basedOn w:val="DefaultParagraphFont"/>
    <w:link w:val="Heading1"/>
    <w:uiPriority w:val="9"/>
    <w:rsid w:val="00841CD9"/>
    <w:rPr>
      <w:rFonts w:asciiTheme="majorHAnsi" w:hAnsiTheme="majorHAnsi" w:eastAsiaTheme="majorEastAsia" w:cstheme="majorBidi"/>
      <w:b/>
      <w:bCs/>
      <w:color w:val="365F91" w:themeColor="accent1" w:themeShade="BF"/>
      <w:sz w:val="28"/>
      <w:szCs w:val="28"/>
    </w:rPr>
  </w:style>
  <w:style w:type="character" w:styleId="Heading2Char" w:customStyle="true">
    <w:name w:val="Heading 2 Char"/>
    <w:basedOn w:val="DefaultParagraphFont"/>
    <w:link w:val="Heading2"/>
    <w:uiPriority w:val="9"/>
    <w:rsid w:val="00841CD9"/>
    <w:rPr>
      <w:rFonts w:asciiTheme="majorHAnsi" w:hAnsiTheme="majorHAnsi" w:eastAsiaTheme="majorEastAsia" w:cstheme="majorBidi"/>
      <w:b/>
      <w:bCs/>
      <w:color w:val="4F81BD" w:themeColor="accent1"/>
      <w:sz w:val="26"/>
      <w:szCs w:val="26"/>
    </w:rPr>
  </w:style>
  <w:style w:type="character" w:styleId="Heading3Char" w:customStyle="true">
    <w:name w:val="Heading 3 Char"/>
    <w:basedOn w:val="DefaultParagraphFont"/>
    <w:link w:val="Heading3"/>
    <w:uiPriority w:val="9"/>
    <w:rsid w:val="00841CD9"/>
    <w:rPr>
      <w:rFonts w:asciiTheme="majorHAnsi" w:hAnsiTheme="majorHAnsi" w:eastAsiaTheme="majorEastAsia" w:cstheme="majorBidi"/>
      <w:b/>
      <w:bCs/>
      <w:color w:val="4F81BD" w:themeColor="accent1"/>
    </w:rPr>
  </w:style>
  <w:style w:type="character" w:styleId="Heading4Char" w:customStyle="true">
    <w:name w:val="Heading 4 Char"/>
    <w:basedOn w:val="DefaultParagraphFont"/>
    <w:link w:val="Heading4"/>
    <w:uiPriority w:val="9"/>
    <w:rsid w:val="00841CD9"/>
    <w:rPr>
      <w:rFonts w:asciiTheme="majorHAnsi" w:hAnsiTheme="majorHAnsi" w:eastAsiaTheme="majorEastAsia" w:cstheme="majorBidi"/>
      <w:b/>
      <w:bCs/>
      <w:i/>
      <w:iCs/>
      <w:color w:val="4F81BD"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hAnsiTheme="majorHAnsi" w:eastAsiaTheme="majorEastAsia" w:cstheme="majorBidi"/>
      <w:i/>
      <w:iCs/>
      <w:color w:val="4F81BD" w:themeColor="accent1"/>
      <w:spacing w:val="15"/>
      <w:sz w:val="24"/>
      <w:szCs w:val="24"/>
    </w:rPr>
  </w:style>
  <w:style w:type="character" w:styleId="SubtitleChar" w:customStyle="true">
    <w:name w:val="Subtitle Char"/>
    <w:basedOn w:val="DefaultParagraphFont"/>
    <w:link w:val="Subtitle"/>
    <w:uiPriority w:val="11"/>
    <w:rsid w:val="00841CD9"/>
    <w:rPr>
      <w:rFonts w:asciiTheme="majorHAnsi" w:hAnsiTheme="majorHAnsi" w:eastAsiaTheme="majorEastAsia" w:cstheme="majorBidi"/>
      <w:i/>
      <w:iCs/>
      <w:color w:val="4F81BD" w:themeColor="accent1"/>
      <w:spacing w:val="15"/>
      <w:sz w:val="24"/>
      <w:szCs w:val="24"/>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true">
    <w:name w:val="Title Char"/>
    <w:basedOn w:val="DefaultParagraphFont"/>
    <w:link w:val="Title"/>
    <w:uiPriority w:val="10"/>
    <w:rsid w:val="00841CD9"/>
    <w:rPr>
      <w:rFonts w:asciiTheme="majorHAnsi" w:hAnsiTheme="majorHAnsi" w:eastAsiaTheme="majorEastAsia" w:cstheme="majorBidi"/>
      <w:color w:val="17365D"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F81BD" w:themeColor="accent1"/>
      <w:sz w:val="18"/>
      <w:szCs w:val="18"/>
    </w:rPr>
  </w:style>
</w:styles>
</file>

<file path=word/_rels/document.xml.rels><?xml version="1.0" encoding="UTF-8"?>
<Relationships xmlns="http://schemas.openxmlformats.org/package/2006/relationships">
   <Relationship Target="styles.xml" Type="http://schemas.openxmlformats.org/officeDocument/2006/relationships/styles" Id="rId1"/>
   <Relationship Target="settings.xml" Type="http://schemas.openxmlformats.org/officeDocument/2006/relationships/settings" Id="rId2"/>
   <Relationship Target="numbering.xml" Type="http://schemas.openxmlformats.org/officeDocument/2006/relationships/numbering" Id="rId3"/>
   <Relationship TargetMode="External" Target="https://book.douban.com/search/%E5%BD%AD%E5%85%B0" Type="http://schemas.openxmlformats.org/officeDocument/2006/relationships/hyperlink" Id="rId4"/>
   <Relationship TargetMode="External" Target="https://book.douban.com/press/2618" Type="http://schemas.openxmlformats.org/officeDocument/2006/relationships/hyperlink" Id="rId5"/>
   <Relationship TargetMode="External" Target="https://book.douban.com/search/%E5%A1%94%E5%A8%9C%20%E5%94%90%E9%93%AE" Type="http://schemas.openxmlformats.org/officeDocument/2006/relationships/hyperlink" Id="rId6"/>
   <Relationship TargetMode="External" Target="https://book.douban.com/press/2618" Type="http://schemas.openxmlformats.org/officeDocument/2006/relationships/hyperlink" Id="rId7"/>
   <Relationship TargetMode="External" Target="https://book.jd.com/publish/%E4%B8%AD%E5%9B%BD%E4%BC%A0%E5%AA%92%E5%A4%A7%E5%AD%A6%E5%87%BA%E7%89%88%E7%A4%BE_1.html" Type="http://schemas.openxmlformats.org/officeDocument/2006/relationships/hyperlink" Id="rId8"/>
   <Relationship TargetMode="External" Target="https://book.jd.com/publish/%E4%B8%AD%E5%9B%BD%E4%BC%A0%E5%AA%92%E5%A4%A7%E5%AD%A6%E5%87%BA%E7%89%88%E7%A4%BE_1.html" Type="http://schemas.openxmlformats.org/officeDocument/2006/relationships/hyperlink" Id="rId9"/>
   <Relationship TargetMode="External" Target="https://book.jd.com/publish/%E4%B8%AD%E5%9B%BD%E4%BC%A0%E5%AA%92%E5%A4%A7%E5%AD%A6%E5%87%BA%E7%89%88%E7%A4%BE_1.html" Type="http://schemas.openxmlformats.org/officeDocument/2006/relationships/hyperlink" Id="rId10"/>
</Relationships>

</file>

<file path=docProps/app.xml><?xml version="1.0" encoding="utf-8"?>
<properties:Properties xmlns:vt="http://schemas.openxmlformats.org/officeDocument/2006/docPropsVTypes" xmlns:properties="http://schemas.openxmlformats.org/officeDocument/2006/extended-properties"/>
</file>

<file path=docProps/core.xml><?xml version="1.0" encoding="utf-8"?>
<cp:coreProperties xmlns:dcterms="http://purl.org/dc/terms/" xmlns:cp="http://schemas.openxmlformats.org/package/2006/metadata/core-properties" xmlns:dc="http://purl.org/dc/elements/1.1/"/>
</file>